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004" w:rsidRDefault="007D1004" w:rsidP="001D5206">
      <w:pPr>
        <w:spacing w:line="240" w:lineRule="auto"/>
        <w:jc w:val="both"/>
        <w:rPr>
          <w:rFonts w:asciiTheme="majorBidi" w:hAnsiTheme="majorBidi" w:cstheme="majorBidi"/>
          <w:b/>
          <w:bCs/>
          <w:sz w:val="24"/>
          <w:szCs w:val="24"/>
        </w:rPr>
      </w:pPr>
      <w:r w:rsidRPr="00E02551">
        <w:rPr>
          <w:rFonts w:asciiTheme="majorBidi" w:hAnsiTheme="majorBidi" w:cstheme="majorBidi"/>
          <w:b/>
          <w:bCs/>
          <w:sz w:val="24"/>
          <w:szCs w:val="24"/>
        </w:rPr>
        <w:t>Efficiency of Hyaluronic Acid Versus Red Injectable Platelet-Rich Fibrin (i-PRF) in Treatment of Stage III Periodontitis (Randomized Controlled Clinical Trial)</w:t>
      </w:r>
    </w:p>
    <w:p w:rsidR="007D1004" w:rsidRPr="00E02551" w:rsidRDefault="007D1004" w:rsidP="001D5206">
      <w:pPr>
        <w:spacing w:line="240" w:lineRule="auto"/>
        <w:jc w:val="both"/>
        <w:rPr>
          <w:rFonts w:asciiTheme="majorBidi" w:hAnsiTheme="majorBidi" w:cstheme="majorBidi"/>
          <w:b/>
          <w:bCs/>
          <w:sz w:val="24"/>
          <w:szCs w:val="24"/>
        </w:rPr>
      </w:pPr>
      <w:r w:rsidRPr="00E02551">
        <w:rPr>
          <w:rFonts w:asciiTheme="majorBidi" w:hAnsiTheme="majorBidi" w:cstheme="majorBidi"/>
          <w:b/>
          <w:bCs/>
          <w:sz w:val="24"/>
          <w:szCs w:val="24"/>
        </w:rPr>
        <w:t>Abstract</w:t>
      </w:r>
    </w:p>
    <w:p w:rsidR="00E943C9" w:rsidRDefault="00E943C9" w:rsidP="00474BF6">
      <w:pPr>
        <w:spacing w:line="240" w:lineRule="auto"/>
        <w:jc w:val="both"/>
        <w:rPr>
          <w:rFonts w:asciiTheme="majorBidi" w:hAnsiTheme="majorBidi" w:cstheme="majorBidi"/>
          <w:sz w:val="24"/>
          <w:szCs w:val="24"/>
        </w:rPr>
      </w:pPr>
      <w:r w:rsidRPr="00E943C9">
        <w:rPr>
          <w:rFonts w:asciiTheme="majorBidi" w:hAnsiTheme="majorBidi" w:cstheme="majorBidi"/>
          <w:sz w:val="24"/>
          <w:szCs w:val="24"/>
        </w:rPr>
        <w:t>This study aims to compare clinical efficacy of red injectable platelet-rich fibrin (i-PRF) and hyaluronic acid (HA) as adjuncts to professional mechanical plaque removal (PMPR) in non-surgical management of stage III periodontitis. 75 patients wer</w:t>
      </w:r>
      <w:r w:rsidR="00474BF6">
        <w:rPr>
          <w:rFonts w:asciiTheme="majorBidi" w:hAnsiTheme="majorBidi" w:cstheme="majorBidi"/>
          <w:sz w:val="24"/>
          <w:szCs w:val="24"/>
        </w:rPr>
        <w:t xml:space="preserve">e split into groups: </w:t>
      </w:r>
      <w:r w:rsidRPr="00E943C9">
        <w:rPr>
          <w:rFonts w:asciiTheme="majorBidi" w:hAnsiTheme="majorBidi" w:cstheme="majorBidi"/>
          <w:sz w:val="24"/>
          <w:szCs w:val="24"/>
        </w:rPr>
        <w:t xml:space="preserve">group one (G1) received HA, group two (G2) received red i-PRF, and group three (G3), received only PMPR. Periodontal evaluation was done at baseline, </w:t>
      </w:r>
      <w:r w:rsidR="00474BF6">
        <w:rPr>
          <w:rFonts w:asciiTheme="majorBidi" w:hAnsiTheme="majorBidi" w:cstheme="majorBidi"/>
          <w:sz w:val="24"/>
          <w:szCs w:val="24"/>
        </w:rPr>
        <w:t>4</w:t>
      </w:r>
      <w:r w:rsidR="00474BF6" w:rsidRPr="00474BF6">
        <w:rPr>
          <w:rFonts w:asciiTheme="majorBidi" w:hAnsiTheme="majorBidi" w:cstheme="majorBidi"/>
          <w:sz w:val="24"/>
          <w:szCs w:val="24"/>
          <w:vertAlign w:val="superscript"/>
        </w:rPr>
        <w:t>th</w:t>
      </w:r>
      <w:r w:rsidRPr="00E943C9">
        <w:rPr>
          <w:rFonts w:asciiTheme="majorBidi" w:hAnsiTheme="majorBidi" w:cstheme="majorBidi"/>
          <w:sz w:val="24"/>
          <w:szCs w:val="24"/>
        </w:rPr>
        <w:t xml:space="preserve">, </w:t>
      </w:r>
      <w:r w:rsidR="00474BF6">
        <w:rPr>
          <w:rFonts w:asciiTheme="majorBidi" w:hAnsiTheme="majorBidi" w:cstheme="majorBidi"/>
          <w:sz w:val="24"/>
          <w:szCs w:val="24"/>
        </w:rPr>
        <w:t>8</w:t>
      </w:r>
      <w:r w:rsidR="00474BF6" w:rsidRPr="00474BF6">
        <w:rPr>
          <w:rFonts w:asciiTheme="majorBidi" w:hAnsiTheme="majorBidi" w:cstheme="majorBidi"/>
          <w:sz w:val="24"/>
          <w:szCs w:val="24"/>
          <w:vertAlign w:val="superscript"/>
        </w:rPr>
        <w:t>th</w:t>
      </w:r>
      <w:r w:rsidRPr="00E943C9">
        <w:rPr>
          <w:rFonts w:asciiTheme="majorBidi" w:hAnsiTheme="majorBidi" w:cstheme="majorBidi"/>
          <w:sz w:val="24"/>
          <w:szCs w:val="24"/>
        </w:rPr>
        <w:t xml:space="preserve">, and </w:t>
      </w:r>
      <w:r w:rsidR="00474BF6">
        <w:rPr>
          <w:rFonts w:asciiTheme="majorBidi" w:hAnsiTheme="majorBidi" w:cstheme="majorBidi"/>
          <w:sz w:val="24"/>
          <w:szCs w:val="24"/>
        </w:rPr>
        <w:t>12</w:t>
      </w:r>
      <w:r w:rsidR="00474BF6" w:rsidRPr="00474BF6">
        <w:rPr>
          <w:rFonts w:asciiTheme="majorBidi" w:hAnsiTheme="majorBidi" w:cstheme="majorBidi"/>
          <w:sz w:val="24"/>
          <w:szCs w:val="24"/>
          <w:vertAlign w:val="superscript"/>
        </w:rPr>
        <w:t>th</w:t>
      </w:r>
      <w:r w:rsidRPr="00E943C9">
        <w:rPr>
          <w:rFonts w:asciiTheme="majorBidi" w:hAnsiTheme="majorBidi" w:cstheme="majorBidi"/>
          <w:sz w:val="24"/>
          <w:szCs w:val="24"/>
        </w:rPr>
        <w:t xml:space="preserve"> weeks following treatment. The plaque index, gingival index, and bleeding on probing were significantly improved in all groups. </w:t>
      </w:r>
      <w:r w:rsidR="00474BF6">
        <w:rPr>
          <w:rFonts w:asciiTheme="majorBidi" w:hAnsiTheme="majorBidi" w:cstheme="majorBidi"/>
          <w:sz w:val="24"/>
          <w:szCs w:val="24"/>
        </w:rPr>
        <w:t>Moreover,</w:t>
      </w:r>
      <w:r w:rsidRPr="00E943C9">
        <w:rPr>
          <w:rFonts w:asciiTheme="majorBidi" w:hAnsiTheme="majorBidi" w:cstheme="majorBidi"/>
          <w:sz w:val="24"/>
          <w:szCs w:val="24"/>
        </w:rPr>
        <w:t xml:space="preserve"> </w:t>
      </w:r>
      <w:r w:rsidR="00474BF6">
        <w:rPr>
          <w:rFonts w:asciiTheme="majorBidi" w:hAnsiTheme="majorBidi" w:cstheme="majorBidi"/>
          <w:sz w:val="24"/>
          <w:szCs w:val="24"/>
        </w:rPr>
        <w:t xml:space="preserve">the probing depth in </w:t>
      </w:r>
      <w:r w:rsidRPr="00E943C9">
        <w:rPr>
          <w:rFonts w:asciiTheme="majorBidi" w:hAnsiTheme="majorBidi" w:cstheme="majorBidi"/>
          <w:sz w:val="24"/>
          <w:szCs w:val="24"/>
        </w:rPr>
        <w:t>all three groups displayed lower levels over the three months, with G1 and G2 experiencing the greatest declines. Additionally, G1 and G2 showed a considerable increase in clinical attachment level, while G3 showed no improvement. Thus, the application of HA and red i-PRF in conjunction with PMPR significantly improves all periodontal metrics, however, there is no statistically significant distinction between the</w:t>
      </w:r>
      <w:r w:rsidR="00474BF6">
        <w:rPr>
          <w:rFonts w:asciiTheme="majorBidi" w:hAnsiTheme="majorBidi" w:cstheme="majorBidi"/>
          <w:sz w:val="24"/>
          <w:szCs w:val="24"/>
        </w:rPr>
        <w:t>m</w:t>
      </w:r>
      <w:r w:rsidRPr="00E943C9">
        <w:rPr>
          <w:rFonts w:asciiTheme="majorBidi" w:hAnsiTheme="majorBidi" w:cstheme="majorBidi"/>
          <w:sz w:val="24"/>
          <w:szCs w:val="24"/>
        </w:rPr>
        <w:t>.</w:t>
      </w:r>
    </w:p>
    <w:p w:rsidR="0004556E" w:rsidRDefault="006E49A1" w:rsidP="00F34E15">
      <w:pPr>
        <w:spacing w:line="240" w:lineRule="auto"/>
        <w:jc w:val="both"/>
        <w:rPr>
          <w:rFonts w:asciiTheme="majorBidi" w:hAnsiTheme="majorBidi" w:cstheme="majorBidi"/>
          <w:sz w:val="24"/>
          <w:szCs w:val="24"/>
        </w:rPr>
      </w:pPr>
      <w:r>
        <w:rPr>
          <w:rFonts w:asciiTheme="majorBidi" w:hAnsiTheme="majorBidi" w:cstheme="majorBidi"/>
          <w:b/>
          <w:bCs/>
          <w:sz w:val="24"/>
          <w:szCs w:val="24"/>
        </w:rPr>
        <w:t xml:space="preserve">Trial Registration: </w:t>
      </w:r>
      <w:r w:rsidR="00F34E15" w:rsidRPr="00F34E15">
        <w:rPr>
          <w:rFonts w:asciiTheme="majorBidi" w:hAnsiTheme="majorBidi" w:cstheme="majorBidi"/>
          <w:sz w:val="24"/>
          <w:szCs w:val="24"/>
        </w:rPr>
        <w:t>This trial is registered in ClinicalTrials.gov, ID: NCT05768243</w:t>
      </w:r>
      <w:r w:rsidR="00F34E15">
        <w:rPr>
          <w:rFonts w:asciiTheme="majorBidi" w:hAnsiTheme="majorBidi" w:cstheme="majorBidi"/>
          <w:sz w:val="24"/>
          <w:szCs w:val="24"/>
        </w:rPr>
        <w:t xml:space="preserve">. </w:t>
      </w:r>
    </w:p>
    <w:p w:rsidR="00D73F39" w:rsidRDefault="00B40C9A" w:rsidP="00D25189">
      <w:pPr>
        <w:spacing w:line="240" w:lineRule="auto"/>
        <w:jc w:val="both"/>
        <w:rPr>
          <w:rFonts w:asciiTheme="majorBidi" w:hAnsiTheme="majorBidi" w:cstheme="majorBidi"/>
          <w:b/>
          <w:bCs/>
          <w:sz w:val="24"/>
          <w:szCs w:val="24"/>
        </w:rPr>
      </w:pPr>
      <w:r w:rsidRPr="00B40C9A">
        <w:rPr>
          <w:rFonts w:asciiTheme="majorBidi" w:hAnsiTheme="majorBidi" w:cstheme="majorBidi"/>
          <w:b/>
          <w:bCs/>
          <w:sz w:val="24"/>
          <w:szCs w:val="24"/>
        </w:rPr>
        <w:t>Keywords:</w:t>
      </w:r>
      <w:r>
        <w:rPr>
          <w:rFonts w:asciiTheme="majorBidi" w:hAnsiTheme="majorBidi" w:cstheme="majorBidi"/>
          <w:sz w:val="24"/>
          <w:szCs w:val="24"/>
        </w:rPr>
        <w:t xml:space="preserve"> </w:t>
      </w:r>
      <w:r w:rsidRPr="00E02551">
        <w:rPr>
          <w:rFonts w:asciiTheme="majorBidi" w:hAnsiTheme="majorBidi" w:cstheme="majorBidi"/>
          <w:sz w:val="24"/>
          <w:szCs w:val="24"/>
        </w:rPr>
        <w:t>hyaluronic acid, non-surgical, periodontitis,</w:t>
      </w:r>
      <w:r w:rsidR="0037375F" w:rsidRPr="0037375F">
        <w:rPr>
          <w:rFonts w:asciiTheme="majorBidi" w:hAnsiTheme="majorBidi" w:cstheme="majorBidi"/>
          <w:sz w:val="24"/>
          <w:szCs w:val="24"/>
        </w:rPr>
        <w:t xml:space="preserve"> </w:t>
      </w:r>
      <w:r w:rsidR="0037375F">
        <w:rPr>
          <w:rFonts w:asciiTheme="majorBidi" w:hAnsiTheme="majorBidi" w:cstheme="majorBidi"/>
          <w:sz w:val="24"/>
          <w:szCs w:val="24"/>
        </w:rPr>
        <w:t>professional mechanical plaque removal,</w:t>
      </w:r>
      <w:r w:rsidRPr="00E02551">
        <w:rPr>
          <w:rFonts w:asciiTheme="majorBidi" w:hAnsiTheme="majorBidi" w:cstheme="majorBidi"/>
          <w:sz w:val="24"/>
          <w:szCs w:val="24"/>
        </w:rPr>
        <w:t xml:space="preserve"> red i</w:t>
      </w:r>
      <w:r w:rsidR="00D25189">
        <w:rPr>
          <w:rFonts w:asciiTheme="majorBidi" w:hAnsiTheme="majorBidi" w:cstheme="majorBidi"/>
          <w:sz w:val="24"/>
          <w:szCs w:val="24"/>
        </w:rPr>
        <w:t>njectable platelet-rich fibrin</w:t>
      </w:r>
      <w:r w:rsidRPr="00E02551">
        <w:rPr>
          <w:rFonts w:asciiTheme="majorBidi" w:hAnsiTheme="majorBidi" w:cstheme="majorBidi"/>
          <w:sz w:val="24"/>
          <w:szCs w:val="24"/>
        </w:rPr>
        <w:t>, stage III.</w:t>
      </w:r>
      <w:r w:rsidRPr="00E02551">
        <w:rPr>
          <w:rFonts w:asciiTheme="majorBidi" w:hAnsiTheme="majorBidi" w:cstheme="majorBidi"/>
          <w:b/>
          <w:bCs/>
          <w:sz w:val="24"/>
          <w:szCs w:val="24"/>
        </w:rPr>
        <w:t xml:space="preserve">  </w:t>
      </w:r>
    </w:p>
    <w:p w:rsidR="00D73F39" w:rsidRPr="001D5206" w:rsidRDefault="00D73F39" w:rsidP="001D5206">
      <w:pPr>
        <w:spacing w:line="240" w:lineRule="auto"/>
        <w:ind w:left="720" w:firstLine="720"/>
        <w:jc w:val="both"/>
        <w:rPr>
          <w:rFonts w:asciiTheme="majorBidi" w:hAnsiTheme="majorBidi" w:cstheme="majorBidi"/>
          <w:sz w:val="24"/>
          <w:szCs w:val="24"/>
          <w:lang w:val="fr-FR"/>
        </w:rPr>
      </w:pPr>
      <w:r w:rsidRPr="001D5206">
        <w:rPr>
          <w:rFonts w:asciiTheme="majorBidi" w:hAnsiTheme="majorBidi" w:cstheme="majorBidi"/>
          <w:b/>
          <w:bCs/>
          <w:sz w:val="24"/>
          <w:szCs w:val="24"/>
          <w:lang w:val="fr-FR"/>
        </w:rPr>
        <w:t>-------------------------------------------------------------------------</w:t>
      </w:r>
    </w:p>
    <w:p w:rsidR="00D73F39" w:rsidRPr="00D73F39" w:rsidRDefault="00D73F39" w:rsidP="001D5206">
      <w:pPr>
        <w:spacing w:line="240" w:lineRule="auto"/>
        <w:jc w:val="both"/>
        <w:rPr>
          <w:rFonts w:asciiTheme="majorBidi" w:hAnsiTheme="majorBidi" w:cstheme="majorBidi"/>
          <w:b/>
          <w:bCs/>
          <w:sz w:val="24"/>
          <w:szCs w:val="24"/>
          <w:lang w:val="fr-FR"/>
        </w:rPr>
      </w:pPr>
      <w:r w:rsidRPr="00D73F39">
        <w:rPr>
          <w:rFonts w:asciiTheme="majorBidi" w:hAnsiTheme="majorBidi" w:cstheme="majorBidi"/>
          <w:b/>
          <w:bCs/>
          <w:sz w:val="24"/>
          <w:szCs w:val="24"/>
          <w:lang w:val="fr-FR"/>
        </w:rPr>
        <w:t>Efficacité de l'acide hyaluronique par rapport à la fibrine riche en plaquettes injectable rouge (i-PRF) dans le traitement de la parodontite de stade III (essai clinique contrôlé randomisé)</w:t>
      </w:r>
    </w:p>
    <w:p w:rsidR="00D73F39" w:rsidRPr="00D73F39" w:rsidRDefault="00D73F39" w:rsidP="001D5206">
      <w:pPr>
        <w:spacing w:line="240" w:lineRule="auto"/>
        <w:jc w:val="both"/>
        <w:rPr>
          <w:rFonts w:asciiTheme="majorBidi" w:hAnsiTheme="majorBidi" w:cstheme="majorBidi"/>
          <w:b/>
          <w:bCs/>
          <w:sz w:val="24"/>
          <w:szCs w:val="24"/>
          <w:lang w:val="fr-FR"/>
        </w:rPr>
      </w:pPr>
      <w:r w:rsidRPr="00D73F39">
        <w:rPr>
          <w:rFonts w:asciiTheme="majorBidi" w:hAnsiTheme="majorBidi" w:cstheme="majorBidi"/>
          <w:b/>
          <w:bCs/>
          <w:sz w:val="24"/>
          <w:szCs w:val="24"/>
          <w:lang w:val="fr-FR"/>
        </w:rPr>
        <w:t>Abstrait</w:t>
      </w:r>
    </w:p>
    <w:p w:rsidR="007A55B3" w:rsidRPr="00A411AA" w:rsidRDefault="007A55B3" w:rsidP="007E47AB">
      <w:pPr>
        <w:spacing w:line="240" w:lineRule="auto"/>
        <w:jc w:val="both"/>
        <w:rPr>
          <w:rFonts w:asciiTheme="majorBidi" w:hAnsiTheme="majorBidi" w:cstheme="majorBidi"/>
          <w:sz w:val="24"/>
          <w:szCs w:val="24"/>
          <w:lang w:val="fr-FR"/>
        </w:rPr>
      </w:pPr>
      <w:r w:rsidRPr="007E47AB">
        <w:rPr>
          <w:rFonts w:asciiTheme="majorBidi" w:hAnsiTheme="majorBidi" w:cstheme="majorBidi"/>
          <w:sz w:val="24"/>
          <w:szCs w:val="24"/>
          <w:lang w:val="fr-FR"/>
        </w:rPr>
        <w:t xml:space="preserve">Cette étude vise à comparer l'efficacité clinique de la fibrine riche en plaquettes injectable rouge (i-PRF) et de l'acide hyaluronique (HA) en tant que compléments à l'élimination mécanique professionnelle de la plaque (PMPR) </w:t>
      </w:r>
      <w:r w:rsidR="007E47AB" w:rsidRPr="007E47AB">
        <w:rPr>
          <w:rFonts w:asciiTheme="majorBidi" w:hAnsiTheme="majorBidi" w:cstheme="majorBidi"/>
          <w:sz w:val="24"/>
          <w:szCs w:val="24"/>
          <w:lang w:val="fr-FR"/>
        </w:rPr>
        <w:t xml:space="preserve">sans une intervention </w:t>
      </w:r>
      <w:proofErr w:type="spellStart"/>
      <w:r w:rsidR="007E47AB" w:rsidRPr="007E47AB">
        <w:rPr>
          <w:rFonts w:asciiTheme="majorBidi" w:hAnsiTheme="majorBidi" w:cstheme="majorBidi"/>
          <w:sz w:val="24"/>
          <w:szCs w:val="24"/>
          <w:lang w:val="fr-FR"/>
        </w:rPr>
        <w:t>chirugical</w:t>
      </w:r>
      <w:proofErr w:type="spellEnd"/>
      <w:r w:rsidR="007E47AB" w:rsidRPr="007E47AB">
        <w:rPr>
          <w:rFonts w:asciiTheme="majorBidi" w:hAnsiTheme="majorBidi" w:cstheme="majorBidi"/>
          <w:sz w:val="24"/>
          <w:szCs w:val="24"/>
          <w:lang w:val="fr-FR"/>
        </w:rPr>
        <w:t xml:space="preserve"> de la paro</w:t>
      </w:r>
      <w:r w:rsidR="007E47AB">
        <w:rPr>
          <w:rFonts w:asciiTheme="majorBidi" w:hAnsiTheme="majorBidi" w:cstheme="majorBidi"/>
          <w:sz w:val="24"/>
          <w:szCs w:val="24"/>
          <w:lang w:val="fr-FR"/>
        </w:rPr>
        <w:t>dontite de stade III</w:t>
      </w:r>
      <w:r w:rsidRPr="007E47AB">
        <w:rPr>
          <w:rFonts w:asciiTheme="majorBidi" w:hAnsiTheme="majorBidi" w:cstheme="majorBidi"/>
          <w:sz w:val="24"/>
          <w:szCs w:val="24"/>
          <w:lang w:val="fr-FR"/>
        </w:rPr>
        <w:t xml:space="preserve">. 75 patients ont été divisés en groupes : le groupe un (G1) a reçu de l'HA, le groupe deux (G2) a reçu de l'i-PRF rouge et le groupe trois (G3) n'a reçu que du PMPR. </w:t>
      </w:r>
      <w:r w:rsidRPr="00A411AA">
        <w:rPr>
          <w:rFonts w:asciiTheme="majorBidi" w:hAnsiTheme="majorBidi" w:cstheme="majorBidi"/>
          <w:sz w:val="24"/>
          <w:szCs w:val="24"/>
          <w:lang w:val="fr-FR"/>
        </w:rPr>
        <w:t xml:space="preserve">Une évaluation parodontale a été effectuée au départ, 4e, 8e et 12e semaines après le traitement. L'indice de plaque, l'indice gingival et le saignement au sondage ont été significativement améliorés dans tous les groupes. De plus, la profondeur de sondage dans les trois groupes a affiché des niveaux inférieurs au cours des trois mois, G1 et G2 connaissant les plus fortes baisses. De plus, G1 et G2 ont montré une augmentation considérable du niveau d'attachement clinique, tandis que G3 n'a montré aucune amélioration. Ainsi, l'application de HA et d'i-PRF rouge en </w:t>
      </w:r>
      <w:r w:rsidRPr="00A411AA">
        <w:rPr>
          <w:rFonts w:asciiTheme="majorBidi" w:hAnsiTheme="majorBidi" w:cstheme="majorBidi"/>
          <w:sz w:val="24"/>
          <w:szCs w:val="24"/>
          <w:lang w:val="fr-FR"/>
        </w:rPr>
        <w:lastRenderedPageBreak/>
        <w:t>conjonction avec PMPR améliore de manière significative toutes les métriques parodontales, cependant, il n'y a pas de différence statistiquement significative entre elles.</w:t>
      </w:r>
    </w:p>
    <w:p w:rsidR="00F34E15" w:rsidRPr="007A55B3" w:rsidRDefault="00F34E15" w:rsidP="00F34E15">
      <w:pPr>
        <w:spacing w:line="240" w:lineRule="auto"/>
        <w:jc w:val="both"/>
        <w:rPr>
          <w:rFonts w:asciiTheme="majorBidi" w:hAnsiTheme="majorBidi" w:cstheme="majorBidi"/>
          <w:sz w:val="24"/>
          <w:szCs w:val="24"/>
        </w:rPr>
      </w:pPr>
      <w:r w:rsidRPr="007A55B3">
        <w:rPr>
          <w:rFonts w:asciiTheme="majorBidi" w:hAnsiTheme="majorBidi" w:cstheme="majorBidi"/>
          <w:b/>
          <w:bCs/>
          <w:sz w:val="24"/>
          <w:szCs w:val="24"/>
        </w:rPr>
        <w:t xml:space="preserve">Trial Registration: </w:t>
      </w:r>
      <w:r w:rsidRPr="007A55B3">
        <w:rPr>
          <w:rFonts w:asciiTheme="majorBidi" w:hAnsiTheme="majorBidi" w:cstheme="majorBidi"/>
          <w:sz w:val="24"/>
          <w:szCs w:val="24"/>
        </w:rPr>
        <w:t xml:space="preserve">ClinicalTrials.gov, ID: NCT05768243. </w:t>
      </w:r>
    </w:p>
    <w:p w:rsidR="006E1FE7" w:rsidRDefault="00D73F39" w:rsidP="0037375F">
      <w:pPr>
        <w:spacing w:line="240" w:lineRule="auto"/>
        <w:jc w:val="both"/>
        <w:rPr>
          <w:rFonts w:asciiTheme="majorBidi" w:hAnsiTheme="majorBidi" w:cstheme="majorBidi"/>
          <w:sz w:val="24"/>
          <w:szCs w:val="24"/>
          <w:lang w:val="fr-FR"/>
        </w:rPr>
      </w:pPr>
      <w:r>
        <w:rPr>
          <w:rFonts w:asciiTheme="majorBidi" w:hAnsiTheme="majorBidi" w:cstheme="majorBidi"/>
          <w:b/>
          <w:bCs/>
          <w:sz w:val="24"/>
          <w:szCs w:val="24"/>
          <w:lang w:val="fr-FR"/>
        </w:rPr>
        <w:t>Mots-clés</w:t>
      </w:r>
      <w:r w:rsidR="006E1FE7">
        <w:rPr>
          <w:rFonts w:asciiTheme="majorBidi" w:hAnsiTheme="majorBidi" w:cstheme="majorBidi"/>
          <w:b/>
          <w:bCs/>
          <w:sz w:val="24"/>
          <w:szCs w:val="24"/>
          <w:lang w:val="fr-FR"/>
        </w:rPr>
        <w:t xml:space="preserve">: </w:t>
      </w:r>
      <w:r w:rsidR="0037375F" w:rsidRPr="0037375F">
        <w:rPr>
          <w:rFonts w:asciiTheme="majorBidi" w:hAnsiTheme="majorBidi" w:cstheme="majorBidi"/>
          <w:sz w:val="24"/>
          <w:szCs w:val="24"/>
          <w:lang w:val="fr-FR"/>
        </w:rPr>
        <w:t>acide hyaluronique, non chirurgical, parodontite, élimination mécanique professionnelle de la plaque dentaire, fibrine rouge injectable riche en plaquettes, stade III.</w:t>
      </w:r>
    </w:p>
    <w:p w:rsidR="006E1FE7" w:rsidRDefault="006E1FE7" w:rsidP="0037375F">
      <w:pPr>
        <w:spacing w:line="240" w:lineRule="auto"/>
        <w:jc w:val="both"/>
        <w:rPr>
          <w:rFonts w:asciiTheme="majorBidi" w:hAnsiTheme="majorBidi" w:cstheme="majorBidi"/>
          <w:sz w:val="24"/>
          <w:szCs w:val="24"/>
          <w:lang w:val="fr-FR"/>
        </w:rPr>
      </w:pPr>
    </w:p>
    <w:p w:rsidR="00B40C9A" w:rsidRPr="00A411AA" w:rsidRDefault="00B40C9A" w:rsidP="0037375F">
      <w:pPr>
        <w:spacing w:line="240" w:lineRule="auto"/>
        <w:jc w:val="both"/>
        <w:rPr>
          <w:rFonts w:asciiTheme="minorBidi" w:hAnsiTheme="minorBidi"/>
          <w:b/>
          <w:bCs/>
          <w:sz w:val="24"/>
          <w:szCs w:val="24"/>
        </w:rPr>
      </w:pPr>
      <w:r w:rsidRPr="00A411AA">
        <w:rPr>
          <w:rFonts w:asciiTheme="minorBidi" w:hAnsiTheme="minorBidi"/>
          <w:b/>
          <w:bCs/>
          <w:sz w:val="24"/>
          <w:szCs w:val="24"/>
        </w:rPr>
        <w:t>Introduction</w:t>
      </w:r>
    </w:p>
    <w:p w:rsidR="00A43A78" w:rsidRPr="00E02551" w:rsidRDefault="00A43A78" w:rsidP="001D5206">
      <w:pPr>
        <w:pStyle w:val="root-block-node"/>
        <w:jc w:val="both"/>
        <w:rPr>
          <w:rFonts w:asciiTheme="majorBidi" w:hAnsiTheme="majorBidi" w:cstheme="majorBidi"/>
          <w:lang w:val="en-GB"/>
        </w:rPr>
      </w:pPr>
      <w:r w:rsidRPr="00E02551">
        <w:rPr>
          <w:rFonts w:asciiTheme="majorBidi" w:hAnsiTheme="majorBidi" w:cstheme="majorBidi"/>
          <w:lang w:val="en-GB"/>
        </w:rPr>
        <w:t>Chronic periodontitis is an irreversible multifactorial inflammatory disease causing progressive destruction of periodontal supporting tissues.</w:t>
      </w:r>
      <w:r w:rsidR="00970A14">
        <w:rPr>
          <w:rFonts w:asciiTheme="majorBidi" w:hAnsiTheme="majorBidi" w:cstheme="majorBidi"/>
          <w:lang w:val="en-GB"/>
        </w:rPr>
        <w:t xml:space="preserve"> </w:t>
      </w:r>
      <w:r w:rsidR="00970A14">
        <w:rPr>
          <w:rFonts w:asciiTheme="majorBidi" w:hAnsiTheme="majorBidi" w:cstheme="majorBidi"/>
          <w:vertAlign w:val="superscript"/>
          <w:lang w:val="en-GB"/>
        </w:rPr>
        <w:t>[</w:t>
      </w:r>
      <w:r w:rsidRPr="00E02551">
        <w:rPr>
          <w:rFonts w:asciiTheme="majorBidi" w:hAnsiTheme="majorBidi" w:cstheme="majorBidi"/>
          <w:b/>
          <w:bCs/>
          <w:vertAlign w:val="superscript"/>
          <w:lang w:val="en-GB"/>
        </w:rPr>
        <w:t>1</w:t>
      </w:r>
      <w:r w:rsidR="00970A14">
        <w:rPr>
          <w:rFonts w:asciiTheme="majorBidi" w:hAnsiTheme="majorBidi" w:cstheme="majorBidi"/>
          <w:b/>
          <w:bCs/>
          <w:vertAlign w:val="superscript"/>
          <w:lang w:val="en-GB"/>
        </w:rPr>
        <w:t>]</w:t>
      </w:r>
      <w:r w:rsidRPr="00E02551">
        <w:rPr>
          <w:rFonts w:asciiTheme="majorBidi" w:hAnsiTheme="majorBidi" w:cstheme="majorBidi"/>
          <w:vertAlign w:val="superscript"/>
          <w:lang w:val="en-GB"/>
        </w:rPr>
        <w:t xml:space="preserve"> </w:t>
      </w:r>
      <w:r w:rsidRPr="00E02551">
        <w:rPr>
          <w:rFonts w:asciiTheme="majorBidi" w:hAnsiTheme="majorBidi" w:cstheme="majorBidi"/>
          <w:lang w:val="en-GB"/>
        </w:rPr>
        <w:t xml:space="preserve">Primarily, it is identified by the loss of periodontal tissue support, represented clinically by clinical attachment loss (CAL), periodontal pockets, gingival bleeding, and radiographically by alveolar bone loss. </w:t>
      </w:r>
    </w:p>
    <w:p w:rsidR="00A43A78" w:rsidRPr="00E02551" w:rsidRDefault="005F15D3" w:rsidP="006E1FE7">
      <w:pPr>
        <w:pStyle w:val="root-block-node"/>
        <w:jc w:val="both"/>
        <w:rPr>
          <w:rFonts w:asciiTheme="majorBidi" w:hAnsiTheme="majorBidi" w:cstheme="majorBidi"/>
          <w:lang w:val="en-GB"/>
        </w:rPr>
      </w:pPr>
      <w:r>
        <w:rPr>
          <w:rFonts w:asciiTheme="majorBidi" w:hAnsiTheme="majorBidi" w:cstheme="majorBidi"/>
          <w:lang w:val="en-GB"/>
        </w:rPr>
        <w:t> </w:t>
      </w:r>
      <w:r>
        <w:rPr>
          <w:rFonts w:asciiTheme="majorBidi" w:hAnsiTheme="majorBidi" w:cstheme="majorBidi"/>
          <w:lang w:val="en-GB"/>
        </w:rPr>
        <w:t> </w:t>
      </w:r>
      <w:r w:rsidR="006E1FE7" w:rsidRPr="006E1FE7">
        <w:rPr>
          <w:rFonts w:asciiTheme="majorBidi" w:hAnsiTheme="majorBidi" w:cstheme="majorBidi"/>
        </w:rPr>
        <w:t xml:space="preserve"> </w:t>
      </w:r>
      <w:r w:rsidR="006E1FE7">
        <w:rPr>
          <w:rFonts w:asciiTheme="majorBidi" w:hAnsiTheme="majorBidi" w:cstheme="majorBidi"/>
        </w:rPr>
        <w:t>Professional mechanical plaque removal (PMPR)</w:t>
      </w:r>
      <w:r w:rsidR="00A43A78" w:rsidRPr="00E02551">
        <w:rPr>
          <w:rFonts w:asciiTheme="majorBidi" w:hAnsiTheme="majorBidi" w:cstheme="majorBidi"/>
          <w:lang w:val="en-GB"/>
        </w:rPr>
        <w:t xml:space="preserve"> is the gold standard treatment for most patients with periodontitis. However, recently, several strategies have been developed to improve </w:t>
      </w:r>
      <w:r w:rsidR="006E1FE7">
        <w:rPr>
          <w:rFonts w:asciiTheme="majorBidi" w:hAnsiTheme="majorBidi" w:cstheme="majorBidi"/>
          <w:lang w:val="en-GB"/>
        </w:rPr>
        <w:t>PMRP</w:t>
      </w:r>
      <w:r w:rsidR="00A43A78" w:rsidRPr="00E02551">
        <w:rPr>
          <w:rFonts w:asciiTheme="majorBidi" w:hAnsiTheme="majorBidi" w:cstheme="majorBidi"/>
          <w:lang w:val="en-GB"/>
        </w:rPr>
        <w:t xml:space="preserve"> results and thus avoid the need for periodontal surgical intervention in some cases.</w:t>
      </w:r>
      <w:r w:rsidR="00970A14">
        <w:rPr>
          <w:rFonts w:asciiTheme="majorBidi" w:hAnsiTheme="majorBidi" w:cstheme="majorBidi"/>
          <w:lang w:val="en-GB"/>
        </w:rPr>
        <w:t xml:space="preserve"> </w:t>
      </w:r>
      <w:r w:rsidR="00970A14">
        <w:rPr>
          <w:rFonts w:asciiTheme="majorBidi" w:hAnsiTheme="majorBidi" w:cstheme="majorBidi"/>
          <w:vertAlign w:val="superscript"/>
          <w:lang w:val="en-GB"/>
        </w:rPr>
        <w:t>[</w:t>
      </w:r>
      <w:r w:rsidR="00A43A78" w:rsidRPr="00E02551">
        <w:rPr>
          <w:rFonts w:asciiTheme="majorBidi" w:hAnsiTheme="majorBidi" w:cstheme="majorBidi"/>
          <w:b/>
          <w:bCs/>
          <w:vertAlign w:val="superscript"/>
          <w:lang w:val="en-GB"/>
        </w:rPr>
        <w:t>2</w:t>
      </w:r>
      <w:r w:rsidR="00970A14">
        <w:rPr>
          <w:rFonts w:asciiTheme="majorBidi" w:hAnsiTheme="majorBidi" w:cstheme="majorBidi"/>
          <w:b/>
          <w:bCs/>
          <w:vertAlign w:val="superscript"/>
          <w:lang w:val="en-GB"/>
        </w:rPr>
        <w:t>]</w:t>
      </w:r>
      <w:r w:rsidR="00A43A78" w:rsidRPr="00E02551">
        <w:rPr>
          <w:rFonts w:asciiTheme="majorBidi" w:hAnsiTheme="majorBidi" w:cstheme="majorBidi"/>
          <w:lang w:val="en-GB"/>
        </w:rPr>
        <w:t xml:space="preserve"> These new strategies include systemically or locally administered antibiotics and antiseptics (ex: hyaluronic acid, metronidazole, minocycline...), or the use of platelet concentrates. </w:t>
      </w:r>
    </w:p>
    <w:p w:rsidR="00E77A3B" w:rsidRPr="00E02551" w:rsidRDefault="005F15D3" w:rsidP="001D5206">
      <w:pPr>
        <w:pStyle w:val="root-block-node"/>
        <w:jc w:val="both"/>
        <w:rPr>
          <w:rFonts w:asciiTheme="majorBidi" w:hAnsiTheme="majorBidi" w:cstheme="majorBidi"/>
          <w:b/>
          <w:bCs/>
          <w:vertAlign w:val="superscript"/>
          <w:lang w:val="en-GB"/>
        </w:rPr>
      </w:pPr>
      <w:r>
        <w:rPr>
          <w:rFonts w:asciiTheme="majorBidi" w:hAnsiTheme="majorBidi" w:cstheme="majorBidi"/>
          <w:lang w:val="en-GB"/>
        </w:rPr>
        <w:t> </w:t>
      </w:r>
      <w:r>
        <w:rPr>
          <w:rFonts w:asciiTheme="majorBidi" w:hAnsiTheme="majorBidi" w:cstheme="majorBidi"/>
          <w:lang w:val="en-GB"/>
        </w:rPr>
        <w:t> </w:t>
      </w:r>
      <w:r w:rsidR="00A43A78" w:rsidRPr="00E02551">
        <w:rPr>
          <w:rFonts w:asciiTheme="majorBidi" w:hAnsiTheme="majorBidi" w:cstheme="majorBidi"/>
          <w:lang w:val="en-GB"/>
        </w:rPr>
        <w:t>Hyaluronic acid (HA) is a linear polysaccharide naturally found in the extracellular matrix of connective tissue, synovial fluid, and other tissues.</w:t>
      </w:r>
      <w:r w:rsidR="00970A14">
        <w:rPr>
          <w:rFonts w:asciiTheme="majorBidi" w:hAnsiTheme="majorBidi" w:cstheme="majorBidi"/>
          <w:lang w:val="en-GB"/>
        </w:rPr>
        <w:t xml:space="preserve"> </w:t>
      </w:r>
      <w:r w:rsidR="00970A14">
        <w:rPr>
          <w:rFonts w:asciiTheme="majorBidi" w:hAnsiTheme="majorBidi" w:cstheme="majorBidi"/>
          <w:b/>
          <w:bCs/>
          <w:vertAlign w:val="superscript"/>
          <w:lang w:val="en-GB"/>
        </w:rPr>
        <w:t>[3]</w:t>
      </w:r>
      <w:r w:rsidR="00A43A78" w:rsidRPr="00E02551">
        <w:rPr>
          <w:rFonts w:asciiTheme="majorBidi" w:hAnsiTheme="majorBidi" w:cstheme="majorBidi"/>
          <w:lang w:val="en-GB"/>
        </w:rPr>
        <w:t xml:space="preserve"> It has many physiological as well as structural functions that help maintain tissue structure and haemostatic integrity. It has the potential to control the inflammatory response, which occurs when chronically irritated tissues break down high molecular weight HA into lower molecular weight molecules. These low-molecular-weight molecules help to identify tissue damage and mobilize immune cells, while high-molecular-weight molecules slow down the immune response, preventing inflammation from worsening too much.</w:t>
      </w:r>
      <w:r w:rsidR="00970A14">
        <w:rPr>
          <w:rFonts w:asciiTheme="majorBidi" w:hAnsiTheme="majorBidi" w:cstheme="majorBidi"/>
          <w:b/>
          <w:bCs/>
          <w:vertAlign w:val="superscript"/>
          <w:lang w:val="en-GB"/>
        </w:rPr>
        <w:t xml:space="preserve"> [4]</w:t>
      </w:r>
      <w:r w:rsidR="00A43A78" w:rsidRPr="00E02551">
        <w:rPr>
          <w:rFonts w:asciiTheme="majorBidi" w:hAnsiTheme="majorBidi" w:cstheme="majorBidi"/>
          <w:b/>
          <w:bCs/>
          <w:lang w:val="en-GB"/>
        </w:rPr>
        <w:t xml:space="preserve"> </w:t>
      </w:r>
      <w:r w:rsidR="00A43A78" w:rsidRPr="00E02551">
        <w:rPr>
          <w:rFonts w:asciiTheme="majorBidi" w:hAnsiTheme="majorBidi" w:cstheme="majorBidi"/>
          <w:lang w:val="en-GB"/>
        </w:rPr>
        <w:t>Additionally, HA has viscoelastic qualities that reduce the ability of germs and viruses to penetrate the tissue. Nevertheless, HA is a naturally hygroscopic molecule. When HA is added to an aqueous solution, hydrogen bonding between adjacent carboxyl and N-acetyl groups occurs; this characteristic enables HA to maintain conformational stiffness and water retention. Therefore, due to the multiple functions that HA has in the healing of wounds, gingiva, and bones, it has been used to repair both mineralized and non-mineralized periodontal tissues.</w:t>
      </w:r>
      <w:r w:rsidR="00970A14">
        <w:rPr>
          <w:rFonts w:asciiTheme="majorBidi" w:hAnsiTheme="majorBidi" w:cstheme="majorBidi"/>
          <w:lang w:val="en-GB"/>
        </w:rPr>
        <w:t xml:space="preserve"> </w:t>
      </w:r>
      <w:r w:rsidR="00970A14">
        <w:rPr>
          <w:rFonts w:asciiTheme="majorBidi" w:hAnsiTheme="majorBidi" w:cstheme="majorBidi"/>
          <w:b/>
          <w:bCs/>
          <w:vertAlign w:val="superscript"/>
          <w:lang w:val="en-GB"/>
        </w:rPr>
        <w:t>[5]</w:t>
      </w:r>
    </w:p>
    <w:p w:rsidR="00A43A78" w:rsidRPr="00E02551" w:rsidRDefault="005F15D3" w:rsidP="001D5206">
      <w:pPr>
        <w:pStyle w:val="root-block-node"/>
        <w:jc w:val="both"/>
        <w:rPr>
          <w:rFonts w:asciiTheme="majorBidi" w:hAnsiTheme="majorBidi" w:cstheme="majorBidi"/>
          <w:b/>
          <w:bCs/>
          <w:lang w:val="en-GB"/>
        </w:rPr>
      </w:pPr>
      <w:r>
        <w:rPr>
          <w:rFonts w:asciiTheme="majorBidi" w:hAnsiTheme="majorBidi" w:cstheme="majorBidi"/>
          <w:lang w:val="en-GB"/>
        </w:rPr>
        <w:lastRenderedPageBreak/>
        <w:t> </w:t>
      </w:r>
      <w:r>
        <w:rPr>
          <w:rFonts w:asciiTheme="majorBidi" w:hAnsiTheme="majorBidi" w:cstheme="majorBidi"/>
          <w:lang w:val="en-GB"/>
        </w:rPr>
        <w:t> </w:t>
      </w:r>
      <w:r w:rsidR="00A43A78" w:rsidRPr="00E02551">
        <w:rPr>
          <w:rFonts w:asciiTheme="majorBidi" w:hAnsiTheme="majorBidi" w:cstheme="majorBidi"/>
          <w:lang w:val="en-GB"/>
        </w:rPr>
        <w:t>Furthermore, injectable platelet rich fibrin (i-PRF) is one of the recently introduced platelet concentrates. It comes in an injectable form and coagulates after minutes of administration. A slower and shorter centrifugation spin is used, thus resulting in regenerating cells with increased concentrations of growth factors and cytokines that may enhance the healing potential of both bone and soft tissues.</w:t>
      </w:r>
      <w:r w:rsidR="00970A14">
        <w:rPr>
          <w:rFonts w:asciiTheme="majorBidi" w:hAnsiTheme="majorBidi" w:cstheme="majorBidi"/>
          <w:b/>
          <w:bCs/>
          <w:vertAlign w:val="superscript"/>
          <w:lang w:val="en-GB"/>
        </w:rPr>
        <w:t xml:space="preserve"> [6] </w:t>
      </w:r>
      <w:r w:rsidR="00A43A78" w:rsidRPr="00E02551">
        <w:rPr>
          <w:rFonts w:asciiTheme="majorBidi" w:hAnsiTheme="majorBidi" w:cstheme="majorBidi"/>
          <w:lang w:val="en-GB"/>
        </w:rPr>
        <w:t>Moreover, its preparation techniques vary depending on the different fractions from various areas based on the junction between the enriched fibrin plasma and red blood cell layers.  Yellow i-PRF is harvested at the upper yellow zone above the junction, while red i-PRF is harvested at the interface with the buffy coat layer. The use of Red i-PRF is superior to the yellow i-PRF as it promotes early-stage wound healing and bone regeneration. In addition, it is unlikely to prevent bone regeneration or induce premature bone formation outside the desired area.</w:t>
      </w:r>
      <w:r w:rsidR="00970A14">
        <w:rPr>
          <w:rFonts w:asciiTheme="majorBidi" w:hAnsiTheme="majorBidi" w:cstheme="majorBidi"/>
          <w:b/>
          <w:bCs/>
          <w:vertAlign w:val="superscript"/>
          <w:lang w:val="en-GB"/>
        </w:rPr>
        <w:t xml:space="preserve"> [7]</w:t>
      </w:r>
    </w:p>
    <w:p w:rsidR="001D5206" w:rsidRDefault="005F15D3" w:rsidP="00D22E9E">
      <w:pPr>
        <w:pStyle w:val="root-block-node"/>
        <w:jc w:val="both"/>
        <w:rPr>
          <w:rFonts w:asciiTheme="majorBidi" w:hAnsiTheme="majorBidi" w:cstheme="majorBidi"/>
          <w:lang w:val="en-GB"/>
        </w:rPr>
      </w:pPr>
      <w:r>
        <w:rPr>
          <w:rFonts w:asciiTheme="majorBidi" w:hAnsiTheme="majorBidi" w:cstheme="majorBidi"/>
          <w:lang w:val="en-GB"/>
        </w:rPr>
        <w:t> </w:t>
      </w:r>
      <w:r>
        <w:rPr>
          <w:rFonts w:asciiTheme="majorBidi" w:hAnsiTheme="majorBidi" w:cstheme="majorBidi"/>
          <w:lang w:val="en-GB"/>
        </w:rPr>
        <w:t> </w:t>
      </w:r>
      <w:r w:rsidR="00A43A78" w:rsidRPr="00E02551">
        <w:rPr>
          <w:rFonts w:asciiTheme="majorBidi" w:hAnsiTheme="majorBidi" w:cstheme="majorBidi"/>
          <w:lang w:val="en-GB"/>
        </w:rPr>
        <w:t>Several studies and clinical trials concerning the efficiency of HA or PRF in treating periodontal disease are available, but few are the articles that assess the efficiency of i-PRF in the non-surgical treatment of periodontal disease.</w:t>
      </w:r>
      <w:r w:rsidR="00970A14">
        <w:rPr>
          <w:rFonts w:asciiTheme="majorBidi" w:hAnsiTheme="majorBidi" w:cstheme="majorBidi"/>
          <w:b/>
          <w:bCs/>
          <w:vertAlign w:val="superscript"/>
          <w:lang w:val="en-GB"/>
        </w:rPr>
        <w:t xml:space="preserve"> [8-16]</w:t>
      </w:r>
      <w:r w:rsidR="00A43A78" w:rsidRPr="00E02551">
        <w:rPr>
          <w:rFonts w:asciiTheme="majorBidi" w:hAnsiTheme="majorBidi" w:cstheme="majorBidi"/>
          <w:b/>
          <w:bCs/>
          <w:vertAlign w:val="superscript"/>
          <w:lang w:val="en-GB"/>
        </w:rPr>
        <w:t xml:space="preserve"> </w:t>
      </w:r>
      <w:r w:rsidR="00A43A78" w:rsidRPr="00E02551">
        <w:rPr>
          <w:rFonts w:asciiTheme="majorBidi" w:hAnsiTheme="majorBidi" w:cstheme="majorBidi"/>
          <w:lang w:val="en-GB"/>
        </w:rPr>
        <w:t xml:space="preserve">Thus, the aim of this clinical trial is to compare the efficacy of HA used as an adjunctive to </w:t>
      </w:r>
      <w:r w:rsidR="006E1FE7">
        <w:rPr>
          <w:rFonts w:asciiTheme="majorBidi" w:hAnsiTheme="majorBidi" w:cstheme="majorBidi"/>
          <w:lang w:val="en-GB"/>
        </w:rPr>
        <w:t>PMPR</w:t>
      </w:r>
      <w:r w:rsidR="00A43A78" w:rsidRPr="00E02551">
        <w:rPr>
          <w:rFonts w:asciiTheme="majorBidi" w:hAnsiTheme="majorBidi" w:cstheme="majorBidi"/>
          <w:lang w:val="en-GB"/>
        </w:rPr>
        <w:t xml:space="preserve"> and red i-PRF (for the first time</w:t>
      </w:r>
      <w:r w:rsidR="005F0FD2">
        <w:rPr>
          <w:rFonts w:asciiTheme="majorBidi" w:hAnsiTheme="majorBidi" w:cstheme="majorBidi"/>
          <w:lang w:val="en-GB"/>
        </w:rPr>
        <w:t xml:space="preserve"> to our best knowledge</w:t>
      </w:r>
      <w:r w:rsidR="00A43A78" w:rsidRPr="00E02551">
        <w:rPr>
          <w:rFonts w:asciiTheme="majorBidi" w:hAnsiTheme="majorBidi" w:cstheme="majorBidi"/>
          <w:lang w:val="en-GB"/>
        </w:rPr>
        <w:t>) in the non-surgical treatment of stage III periodontitis.</w:t>
      </w:r>
    </w:p>
    <w:p w:rsidR="00A43A78" w:rsidRPr="000272AD" w:rsidRDefault="00A43A78" w:rsidP="001D5206">
      <w:pPr>
        <w:spacing w:line="240" w:lineRule="auto"/>
        <w:jc w:val="both"/>
        <w:rPr>
          <w:rFonts w:asciiTheme="minorBidi" w:hAnsiTheme="minorBidi"/>
          <w:b/>
          <w:bCs/>
          <w:sz w:val="24"/>
          <w:szCs w:val="24"/>
        </w:rPr>
      </w:pPr>
      <w:r w:rsidRPr="000272AD">
        <w:rPr>
          <w:rFonts w:asciiTheme="minorBidi" w:hAnsiTheme="minorBidi"/>
          <w:b/>
          <w:bCs/>
          <w:sz w:val="24"/>
          <w:szCs w:val="24"/>
        </w:rPr>
        <w:t>Materials and methods</w:t>
      </w:r>
    </w:p>
    <w:p w:rsidR="00A43A78" w:rsidRPr="00E02551" w:rsidRDefault="00A43A78" w:rsidP="001D5206">
      <w:pPr>
        <w:pStyle w:val="root-block-node"/>
        <w:jc w:val="both"/>
        <w:rPr>
          <w:rFonts w:asciiTheme="majorBidi" w:eastAsiaTheme="minorHAnsi" w:hAnsiTheme="majorBidi" w:cstheme="majorBidi"/>
          <w:color w:val="000000"/>
          <w:shd w:val="clear" w:color="auto" w:fill="FFFFFF"/>
        </w:rPr>
      </w:pPr>
      <w:r w:rsidRPr="00E02551">
        <w:rPr>
          <w:rFonts w:asciiTheme="majorBidi" w:eastAsiaTheme="minorHAnsi" w:hAnsiTheme="majorBidi" w:cstheme="majorBidi"/>
          <w:color w:val="000000"/>
          <w:shd w:val="clear" w:color="auto" w:fill="FFFFFF"/>
        </w:rPr>
        <w:t>Seventy-five patients aged between 20 and 60 years were recruited for the study in March 2021. All the selected patients had clinical periodontal loss and radiographic bone loss of stage III/grades A and B with no history of systemic disease. They had at least four periodontal sites with a pocket depth of six mm or greater, radiographic evidence of bone loss extending to the middle third of the root, and clinical attachment loss of five mm or more. Moreover, patients were excluded from this study if they had had: uncontrolled systemic conditions (uncontrolled diabetes or uncontrolled hypertension), bleeding disorders, or were on anticoagulant therapy; alcohol users; pregnant or lactating females; heavy smokers (more than ten cigarettes per day); underwent chemo or radiotherapy; or used antibiotic/anti-inflammatory drugs over the last three months before treatment.</w:t>
      </w:r>
    </w:p>
    <w:p w:rsidR="004A6C5B" w:rsidRDefault="005F15D3" w:rsidP="0004556E">
      <w:pPr>
        <w:pStyle w:val="root-block-node"/>
        <w:jc w:val="both"/>
        <w:rPr>
          <w:rFonts w:asciiTheme="majorBidi" w:eastAsiaTheme="minorHAnsi" w:hAnsiTheme="majorBidi" w:cstheme="majorBidi"/>
          <w:color w:val="000000"/>
          <w:shd w:val="clear" w:color="auto" w:fill="FFFFFF"/>
        </w:rPr>
      </w:pPr>
      <w:r>
        <w:rPr>
          <w:rFonts w:asciiTheme="majorBidi" w:eastAsiaTheme="minorHAnsi" w:hAnsiTheme="majorBidi" w:cstheme="majorBidi"/>
          <w:color w:val="000000"/>
          <w:shd w:val="clear" w:color="auto" w:fill="FFFFFF"/>
        </w:rPr>
        <w:t> </w:t>
      </w:r>
      <w:r>
        <w:rPr>
          <w:rFonts w:asciiTheme="majorBidi" w:eastAsiaTheme="minorHAnsi" w:hAnsiTheme="majorBidi" w:cstheme="majorBidi"/>
          <w:color w:val="000000"/>
          <w:shd w:val="clear" w:color="auto" w:fill="FFFFFF"/>
        </w:rPr>
        <w:t> </w:t>
      </w:r>
      <w:r w:rsidR="00A43A78" w:rsidRPr="00E02551">
        <w:rPr>
          <w:rFonts w:asciiTheme="majorBidi" w:eastAsiaTheme="minorHAnsi" w:hAnsiTheme="majorBidi" w:cstheme="majorBidi"/>
          <w:color w:val="000000"/>
          <w:shd w:val="clear" w:color="auto" w:fill="FFFFFF"/>
        </w:rPr>
        <w:t>Before starting the clinical trial</w:t>
      </w:r>
      <w:r w:rsidR="00A43A78" w:rsidRPr="00E02551">
        <w:rPr>
          <w:rFonts w:asciiTheme="majorBidi" w:eastAsiaTheme="minorHAnsi" w:hAnsiTheme="majorBidi" w:cstheme="majorBidi"/>
          <w:shd w:val="clear" w:color="auto" w:fill="FFFFFF"/>
        </w:rPr>
        <w:t>, an</w:t>
      </w:r>
      <w:r w:rsidR="00D43474">
        <w:rPr>
          <w:rFonts w:asciiTheme="majorBidi" w:eastAsiaTheme="minorHAnsi" w:hAnsiTheme="majorBidi" w:cstheme="majorBidi"/>
          <w:shd w:val="clear" w:color="auto" w:fill="FFFFFF"/>
        </w:rPr>
        <w:t xml:space="preserve"> institutional review board (IRB</w:t>
      </w:r>
      <w:r w:rsidR="00A43A78" w:rsidRPr="00E02551">
        <w:rPr>
          <w:rFonts w:asciiTheme="majorBidi" w:eastAsiaTheme="minorHAnsi" w:hAnsiTheme="majorBidi" w:cstheme="majorBidi"/>
          <w:shd w:val="clear" w:color="auto" w:fill="FFFFFF"/>
        </w:rPr>
        <w:t>) was obtained</w:t>
      </w:r>
      <w:r w:rsidR="00D43474">
        <w:rPr>
          <w:rFonts w:asciiTheme="majorBidi" w:eastAsiaTheme="minorHAnsi" w:hAnsiTheme="majorBidi" w:cstheme="majorBidi"/>
          <w:shd w:val="clear" w:color="auto" w:fill="FFFFFF"/>
        </w:rPr>
        <w:t xml:space="preserve"> </w:t>
      </w:r>
      <w:r w:rsidR="00D43474" w:rsidRPr="00D43474">
        <w:rPr>
          <w:rFonts w:asciiTheme="majorBidi" w:eastAsiaTheme="minorHAnsi" w:hAnsiTheme="majorBidi" w:cstheme="majorBidi"/>
          <w:color w:val="000000"/>
          <w:shd w:val="clear" w:color="auto" w:fill="FFFFFF"/>
        </w:rPr>
        <w:t>(2019-H-0075-D-R-0293)</w:t>
      </w:r>
      <w:r w:rsidR="0004556E">
        <w:rPr>
          <w:rFonts w:asciiTheme="majorBidi" w:eastAsiaTheme="minorHAnsi" w:hAnsiTheme="majorBidi" w:cstheme="majorBidi"/>
          <w:color w:val="000000"/>
          <w:shd w:val="clear" w:color="auto" w:fill="FFFFFF"/>
        </w:rPr>
        <w:t xml:space="preserve"> and the trial was registered in the clinicaltrial.gov (</w:t>
      </w:r>
      <w:r w:rsidR="0004556E" w:rsidRPr="0004556E">
        <w:rPr>
          <w:rFonts w:asciiTheme="majorBidi" w:eastAsiaTheme="minorHAnsi" w:hAnsiTheme="majorBidi" w:cstheme="majorBidi"/>
          <w:color w:val="000000"/>
          <w:shd w:val="clear" w:color="auto" w:fill="FFFFFF"/>
        </w:rPr>
        <w:t>NCT05768243)</w:t>
      </w:r>
      <w:r w:rsidR="0004556E">
        <w:rPr>
          <w:rFonts w:asciiTheme="majorBidi" w:eastAsiaTheme="minorHAnsi" w:hAnsiTheme="majorBidi" w:cstheme="majorBidi"/>
          <w:color w:val="000000"/>
          <w:shd w:val="clear" w:color="auto" w:fill="FFFFFF"/>
        </w:rPr>
        <w:t xml:space="preserve">. </w:t>
      </w:r>
      <w:r w:rsidR="00A43A78" w:rsidRPr="00E02551">
        <w:rPr>
          <w:rFonts w:asciiTheme="majorBidi" w:eastAsiaTheme="minorHAnsi" w:hAnsiTheme="majorBidi" w:cstheme="majorBidi"/>
          <w:color w:val="000000"/>
          <w:shd w:val="clear" w:color="auto" w:fill="FFFFFF"/>
        </w:rPr>
        <w:t>After that, complete medical and dental histories as well as informed consent were collected from each patient, and periodontal charting was done for them.</w:t>
      </w:r>
    </w:p>
    <w:p w:rsidR="006E49A1" w:rsidRPr="00E02551" w:rsidRDefault="006E49A1" w:rsidP="0004556E">
      <w:pPr>
        <w:pStyle w:val="root-block-node"/>
        <w:jc w:val="both"/>
        <w:rPr>
          <w:rFonts w:asciiTheme="majorBidi" w:eastAsiaTheme="minorHAnsi" w:hAnsiTheme="majorBidi" w:cstheme="majorBidi"/>
          <w:color w:val="000000"/>
          <w:shd w:val="clear" w:color="auto" w:fill="FFFFFF"/>
        </w:rPr>
      </w:pPr>
    </w:p>
    <w:p w:rsidR="00A43A78" w:rsidRPr="00E02551" w:rsidRDefault="005F15D3" w:rsidP="001D5206">
      <w:pPr>
        <w:spacing w:line="240" w:lineRule="auto"/>
        <w:jc w:val="both"/>
        <w:rPr>
          <w:rFonts w:asciiTheme="majorBidi" w:hAnsiTheme="majorBidi" w:cstheme="majorBidi"/>
          <w:sz w:val="24"/>
          <w:szCs w:val="24"/>
        </w:rPr>
      </w:pPr>
      <w:r>
        <w:rPr>
          <w:rFonts w:asciiTheme="majorBidi" w:hAnsiTheme="majorBidi" w:cstheme="majorBidi"/>
          <w:sz w:val="24"/>
          <w:szCs w:val="24"/>
        </w:rPr>
        <w:lastRenderedPageBreak/>
        <w:t> </w:t>
      </w:r>
      <w:r>
        <w:rPr>
          <w:rFonts w:asciiTheme="majorBidi" w:hAnsiTheme="majorBidi" w:cstheme="majorBidi"/>
          <w:sz w:val="24"/>
          <w:szCs w:val="24"/>
        </w:rPr>
        <w:t> </w:t>
      </w:r>
      <w:r w:rsidR="00A43A78" w:rsidRPr="00E02551">
        <w:rPr>
          <w:rFonts w:asciiTheme="majorBidi" w:hAnsiTheme="majorBidi" w:cstheme="majorBidi"/>
          <w:sz w:val="24"/>
          <w:szCs w:val="24"/>
        </w:rPr>
        <w:t>The selected patients were allocated into three groups (each containing 25) with the help of a computerized randomizer (Randomizer.org):</w:t>
      </w:r>
    </w:p>
    <w:p w:rsidR="00A43A78" w:rsidRPr="00E02551" w:rsidRDefault="00A43A78" w:rsidP="006E1FE7">
      <w:pPr>
        <w:pStyle w:val="ListParagraph"/>
        <w:numPr>
          <w:ilvl w:val="0"/>
          <w:numId w:val="2"/>
        </w:numPr>
        <w:spacing w:line="240" w:lineRule="auto"/>
        <w:contextualSpacing w:val="0"/>
        <w:jc w:val="both"/>
        <w:rPr>
          <w:rFonts w:cstheme="majorBidi"/>
          <w:szCs w:val="24"/>
        </w:rPr>
      </w:pPr>
      <w:r w:rsidRPr="00E02551">
        <w:rPr>
          <w:rFonts w:cstheme="majorBidi"/>
          <w:b/>
          <w:bCs/>
          <w:szCs w:val="24"/>
        </w:rPr>
        <w:t>Group one (G1):</w:t>
      </w:r>
      <w:r w:rsidRPr="00E02551">
        <w:rPr>
          <w:rFonts w:cstheme="majorBidi"/>
          <w:szCs w:val="24"/>
        </w:rPr>
        <w:t xml:space="preserve"> 25 patients were treated with hyaluronic acid gel as an adjunct to </w:t>
      </w:r>
      <w:r w:rsidR="006E1FE7">
        <w:rPr>
          <w:rFonts w:cstheme="majorBidi"/>
          <w:lang w:val="en-GB"/>
        </w:rPr>
        <w:t xml:space="preserve">PMRP </w:t>
      </w:r>
      <w:r w:rsidRPr="00E02551">
        <w:rPr>
          <w:rFonts w:cstheme="majorBidi"/>
          <w:szCs w:val="24"/>
        </w:rPr>
        <w:t xml:space="preserve">by applying </w:t>
      </w:r>
      <w:r w:rsidRPr="00E02551">
        <w:rPr>
          <w:rFonts w:cstheme="majorBidi"/>
          <w:b/>
          <w:bCs/>
          <w:szCs w:val="24"/>
        </w:rPr>
        <w:t>one ml of 0.8% HA</w:t>
      </w:r>
      <w:r w:rsidRPr="00E02551">
        <w:rPr>
          <w:rFonts w:cstheme="majorBidi"/>
          <w:szCs w:val="24"/>
        </w:rPr>
        <w:t xml:space="preserve"> to the base of the pocket (subgingivally) and </w:t>
      </w:r>
      <w:r w:rsidRPr="00E02551">
        <w:rPr>
          <w:rFonts w:cstheme="majorBidi"/>
          <w:b/>
          <w:bCs/>
          <w:szCs w:val="24"/>
        </w:rPr>
        <w:t>0.2 ml of 0.2% HA</w:t>
      </w:r>
      <w:r w:rsidRPr="00E02551">
        <w:rPr>
          <w:rFonts w:cstheme="majorBidi"/>
          <w:szCs w:val="24"/>
        </w:rPr>
        <w:t xml:space="preserve"> topically (applied by the patient).</w:t>
      </w:r>
    </w:p>
    <w:p w:rsidR="00A43A78" w:rsidRPr="00E02551" w:rsidRDefault="00A43A78" w:rsidP="006E1FE7">
      <w:pPr>
        <w:pStyle w:val="ListParagraph"/>
        <w:numPr>
          <w:ilvl w:val="0"/>
          <w:numId w:val="1"/>
        </w:numPr>
        <w:spacing w:line="240" w:lineRule="auto"/>
        <w:contextualSpacing w:val="0"/>
        <w:jc w:val="both"/>
        <w:rPr>
          <w:rFonts w:cstheme="majorBidi"/>
          <w:szCs w:val="24"/>
        </w:rPr>
      </w:pPr>
      <w:r w:rsidRPr="00E02551">
        <w:rPr>
          <w:rFonts w:cstheme="majorBidi"/>
          <w:b/>
          <w:bCs/>
          <w:szCs w:val="24"/>
        </w:rPr>
        <w:t>Group two (G2)</w:t>
      </w:r>
      <w:r w:rsidRPr="00E02551">
        <w:rPr>
          <w:rFonts w:cstheme="majorBidi"/>
          <w:szCs w:val="24"/>
        </w:rPr>
        <w:t xml:space="preserve">: 25 patients were treated with red i-PRF as an adjunct to </w:t>
      </w:r>
      <w:r w:rsidR="006E1FE7">
        <w:rPr>
          <w:rFonts w:cstheme="majorBidi"/>
          <w:lang w:val="en-GB"/>
        </w:rPr>
        <w:t>PMRP</w:t>
      </w:r>
      <w:r w:rsidRPr="00E02551">
        <w:rPr>
          <w:rFonts w:cstheme="majorBidi"/>
          <w:szCs w:val="24"/>
        </w:rPr>
        <w:t xml:space="preserve">. </w:t>
      </w:r>
    </w:p>
    <w:p w:rsidR="00A43A78" w:rsidRPr="00E02551" w:rsidRDefault="00A43A78" w:rsidP="006E1FE7">
      <w:pPr>
        <w:pStyle w:val="ListParagraph"/>
        <w:numPr>
          <w:ilvl w:val="0"/>
          <w:numId w:val="1"/>
        </w:numPr>
        <w:spacing w:line="240" w:lineRule="auto"/>
        <w:contextualSpacing w:val="0"/>
        <w:jc w:val="both"/>
        <w:rPr>
          <w:rFonts w:cstheme="majorBidi"/>
          <w:szCs w:val="24"/>
        </w:rPr>
      </w:pPr>
      <w:r w:rsidRPr="00E02551">
        <w:rPr>
          <w:rFonts w:cstheme="majorBidi"/>
          <w:b/>
          <w:bCs/>
          <w:szCs w:val="24"/>
        </w:rPr>
        <w:t>Group three (G3)</w:t>
      </w:r>
      <w:r w:rsidRPr="00E02551">
        <w:rPr>
          <w:rFonts w:cstheme="majorBidi"/>
          <w:szCs w:val="24"/>
        </w:rPr>
        <w:t xml:space="preserve">: 25 patients were treated with </w:t>
      </w:r>
      <w:r w:rsidR="006E1FE7">
        <w:rPr>
          <w:rFonts w:cstheme="majorBidi"/>
          <w:lang w:val="en-GB"/>
        </w:rPr>
        <w:t>PMRP</w:t>
      </w:r>
      <w:r w:rsidR="006E1FE7" w:rsidRPr="00E02551">
        <w:rPr>
          <w:rFonts w:cstheme="majorBidi"/>
          <w:lang w:val="en-GB"/>
        </w:rPr>
        <w:t xml:space="preserve"> </w:t>
      </w:r>
      <w:r w:rsidRPr="00E02551">
        <w:rPr>
          <w:rFonts w:cstheme="majorBidi"/>
          <w:szCs w:val="24"/>
        </w:rPr>
        <w:t>only.</w:t>
      </w:r>
    </w:p>
    <w:p w:rsidR="00A43A78" w:rsidRPr="00E02551" w:rsidRDefault="00A43A78" w:rsidP="001D5206">
      <w:pPr>
        <w:pStyle w:val="root-block-node"/>
        <w:jc w:val="both"/>
        <w:rPr>
          <w:rFonts w:asciiTheme="majorBidi" w:eastAsiaTheme="minorHAnsi" w:hAnsiTheme="majorBidi" w:cstheme="majorBidi"/>
        </w:rPr>
      </w:pPr>
      <w:r w:rsidRPr="00E02551">
        <w:rPr>
          <w:rFonts w:asciiTheme="majorBidi" w:eastAsiaTheme="minorHAnsi" w:hAnsiTheme="majorBidi" w:cstheme="majorBidi"/>
        </w:rPr>
        <w:t>The clinical examiner was not informed of the treatment groups' distribution.</w:t>
      </w:r>
    </w:p>
    <w:p w:rsidR="00A43A78" w:rsidRPr="00E02551" w:rsidRDefault="005F15D3" w:rsidP="006E1FE7">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Before the baseline examination, a full mouth supragingival </w:t>
      </w:r>
      <w:r w:rsidR="006E1FE7">
        <w:rPr>
          <w:rFonts w:asciiTheme="majorBidi" w:hAnsiTheme="majorBidi" w:cstheme="majorBidi"/>
          <w:lang w:val="en-GB"/>
        </w:rPr>
        <w:t>PMRP</w:t>
      </w:r>
      <w:r w:rsidR="00A43A78" w:rsidRPr="00E02551">
        <w:rPr>
          <w:rFonts w:asciiTheme="majorBidi" w:eastAsiaTheme="minorHAnsi" w:hAnsiTheme="majorBidi" w:cstheme="majorBidi"/>
        </w:rPr>
        <w:t xml:space="preserve"> was performed under local anesthesia in one or two sessions (over a 24-hour period). Patients were informed on self-performed plaque control measures including using the modified Bass brushing technique using a soft toothbrush and regular toothpaste twice a day and interdental cleaning using interdental brushes once a day. Note that patients received the same toothbrushes, toothpaste, and interdental brushes. Oral hygiene was reinforced at every visit.</w:t>
      </w:r>
    </w:p>
    <w:p w:rsidR="00A43A78" w:rsidRPr="00E02551" w:rsidRDefault="005F15D3" w:rsidP="001D5206">
      <w:pPr>
        <w:pStyle w:val="root-block-node"/>
        <w:jc w:val="both"/>
        <w:rPr>
          <w:rFonts w:asciiTheme="majorBidi" w:eastAsiaTheme="minorHAnsi" w:hAnsiTheme="majorBidi" w:cstheme="majorBidi"/>
          <w:vertAlign w:val="superscript"/>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The clinical periodontal parameters were recorded by one blinded examiner from the mesio-buccal, mid-buccal, disto-buccal, disto-lingual, mid-lingual, and mesio-lingual surfaces of each tooth and checked by another blinded examiner. Examiners were calibrated to ensure intra-examiner as well as inter-examiner agreement when measuring PD and CAL values. Twenty patients were examined twice before the trial, 24 hours apart. Calibration was considered accepted if both measurements at the baseline and after 24 hours were similar to one mm at the 90% level.</w:t>
      </w:r>
    </w:p>
    <w:p w:rsidR="00A43A78" w:rsidRPr="00E02551" w:rsidRDefault="005F15D3" w:rsidP="001D5206">
      <w:pPr>
        <w:spacing w:line="240" w:lineRule="auto"/>
        <w:jc w:val="both"/>
        <w:rPr>
          <w:rFonts w:asciiTheme="majorBidi" w:hAnsiTheme="majorBidi" w:cstheme="majorBidi"/>
          <w:sz w:val="24"/>
          <w:szCs w:val="24"/>
        </w:rPr>
      </w:pPr>
      <w:r>
        <w:rPr>
          <w:rFonts w:asciiTheme="majorBidi" w:hAnsiTheme="majorBidi" w:cstheme="majorBidi"/>
          <w:sz w:val="24"/>
          <w:szCs w:val="24"/>
        </w:rPr>
        <w:t> </w:t>
      </w:r>
      <w:r>
        <w:rPr>
          <w:rFonts w:asciiTheme="majorBidi" w:hAnsiTheme="majorBidi" w:cstheme="majorBidi"/>
          <w:sz w:val="24"/>
          <w:szCs w:val="24"/>
        </w:rPr>
        <w:t> </w:t>
      </w:r>
      <w:r w:rsidR="00A43A78" w:rsidRPr="00E02551">
        <w:rPr>
          <w:rFonts w:asciiTheme="majorBidi" w:hAnsiTheme="majorBidi" w:cstheme="majorBidi"/>
          <w:sz w:val="24"/>
          <w:szCs w:val="24"/>
        </w:rPr>
        <w:t>Clinical measurements included the clinical attachment level (CAL), probing depth (PD), plaque index (PI), gingival index (GI), and bleeding on probing (BOP). First, the PI and the GI were measured from four sites per tooth. Gingival bleeding was recorded within 15 seconds. Afterwards, patients were asked to rinse with water so as not to misinterpret gingival bleeding as BOP. Following that, all teeth were probed at six different locations per tooth. Moreover, CAL was measured as the distance from the cemento-enamel junction (CEJ) to the depth of the pocket, while the PD was measured as the distance from the gingival margin to the base of the pocket. Regarding the BOP, it was recorded 15 seconds after probing. Note that the clinical parameters were recorded at the baseline (1st visit) before the treatment and were repeated in the fourth week (2nd visit), eighth week (3rd visit), and twelfth week (fourth visit). During this period, reinforcement of plaque control and additional instructions were given to maintain good oral hygiene.</w:t>
      </w:r>
    </w:p>
    <w:p w:rsidR="00A43A78" w:rsidRPr="00E02551" w:rsidRDefault="00A43A78" w:rsidP="001D5206">
      <w:pPr>
        <w:spacing w:line="240" w:lineRule="auto"/>
        <w:jc w:val="both"/>
        <w:rPr>
          <w:rFonts w:asciiTheme="majorBidi" w:hAnsiTheme="majorBidi" w:cstheme="majorBidi"/>
          <w:b/>
          <w:bCs/>
          <w:sz w:val="24"/>
          <w:szCs w:val="24"/>
        </w:rPr>
      </w:pPr>
      <w:r w:rsidRPr="00E02551">
        <w:rPr>
          <w:rFonts w:asciiTheme="majorBidi" w:hAnsiTheme="majorBidi" w:cstheme="majorBidi"/>
          <w:sz w:val="24"/>
          <w:szCs w:val="24"/>
        </w:rPr>
        <w:lastRenderedPageBreak/>
        <w:t>The sample size is calculated with the help of this formula:</w:t>
      </w:r>
      <w:r w:rsidR="00970A14">
        <w:rPr>
          <w:rFonts w:asciiTheme="majorBidi" w:hAnsiTheme="majorBidi" w:cstheme="majorBidi"/>
          <w:b/>
          <w:bCs/>
          <w:sz w:val="24"/>
          <w:szCs w:val="24"/>
          <w:vertAlign w:val="superscript"/>
        </w:rPr>
        <w:t xml:space="preserve"> [17]</w:t>
      </w:r>
    </w:p>
    <w:p w:rsidR="00A43A78" w:rsidRPr="00E02551" w:rsidRDefault="00A43A78" w:rsidP="001D5206">
      <w:pPr>
        <w:spacing w:line="240" w:lineRule="auto"/>
        <w:jc w:val="both"/>
        <w:rPr>
          <w:rFonts w:asciiTheme="majorBidi" w:hAnsiTheme="majorBidi" w:cstheme="majorBidi"/>
          <w:sz w:val="24"/>
          <w:szCs w:val="24"/>
        </w:rPr>
      </w:pPr>
      <m:oMathPara>
        <m:oMath>
          <m:r>
            <w:rPr>
              <w:rFonts w:ascii="Cambria Math" w:eastAsiaTheme="minorEastAsia" w:hAnsi="Cambria Math" w:cstheme="majorBidi"/>
              <w:sz w:val="24"/>
              <w:szCs w:val="24"/>
            </w:rPr>
            <m:t>=</m:t>
          </m:r>
          <m:d>
            <m:dPr>
              <m:begChr m:val="["/>
              <m:endChr m:val="]"/>
              <m:ctrlPr>
                <w:rPr>
                  <w:rFonts w:ascii="Cambria Math" w:eastAsiaTheme="minorEastAsia" w:hAnsi="Cambria Math" w:cstheme="majorBidi"/>
                  <w:i/>
                  <w:sz w:val="24"/>
                  <w:szCs w:val="24"/>
                </w:rPr>
              </m:ctrlPr>
            </m:dPr>
            <m:e>
              <m:f>
                <m:fPr>
                  <m:ctrlPr>
                    <w:rPr>
                      <w:rFonts w:ascii="Cambria Math" w:hAnsi="Cambria Math" w:cstheme="majorBidi"/>
                      <w:i/>
                      <w:sz w:val="24"/>
                      <w:szCs w:val="24"/>
                    </w:rPr>
                  </m:ctrlPr>
                </m:fPr>
                <m:num>
                  <m:sSup>
                    <m:sSupPr>
                      <m:ctrlPr>
                        <w:rPr>
                          <w:rFonts w:ascii="Cambria Math" w:hAnsi="Cambria Math" w:cstheme="majorBidi"/>
                          <w:sz w:val="24"/>
                          <w:szCs w:val="24"/>
                        </w:rPr>
                      </m:ctrlPr>
                    </m:sSupPr>
                    <m:e>
                      <m:r>
                        <w:rPr>
                          <w:rFonts w:ascii="Cambria Math" w:hAnsi="Cambria Math" w:cstheme="majorBidi"/>
                          <w:sz w:val="24"/>
                          <w:szCs w:val="24"/>
                        </w:rPr>
                        <m:t>(</m:t>
                      </m:r>
                      <m:r>
                        <m:rPr>
                          <m:sty m:val="p"/>
                        </m:rPr>
                        <w:rPr>
                          <w:rFonts w:ascii="Cambria Math" w:hAnsi="Cambria Math" w:cstheme="majorBidi"/>
                          <w:sz w:val="24"/>
                          <w:szCs w:val="24"/>
                        </w:rPr>
                        <m:t xml:space="preserve">z </m:t>
                      </m:r>
                      <m:f>
                        <m:fPr>
                          <m:ctrlPr>
                            <w:rPr>
                              <w:rFonts w:ascii="Cambria Math" w:hAnsi="Cambria Math" w:cstheme="majorBidi"/>
                              <w:sz w:val="24"/>
                              <w:szCs w:val="24"/>
                            </w:rPr>
                          </m:ctrlPr>
                        </m:fPr>
                        <m:num>
                          <m:r>
                            <m:rPr>
                              <m:sty m:val="p"/>
                            </m:rPr>
                            <w:rPr>
                              <w:rFonts w:ascii="Cambria Math" w:hAnsi="Cambria Math" w:cstheme="majorBidi"/>
                              <w:sz w:val="24"/>
                              <w:szCs w:val="24"/>
                            </w:rPr>
                            <m:t>α</m:t>
                          </m:r>
                        </m:num>
                        <m:den>
                          <m:r>
                            <m:rPr>
                              <m:sty m:val="p"/>
                            </m:rPr>
                            <w:rPr>
                              <w:rFonts w:ascii="Cambria Math" w:hAnsi="Cambria Math" w:cstheme="majorBidi"/>
                              <w:sz w:val="24"/>
                              <w:szCs w:val="24"/>
                            </w:rPr>
                            <m:t xml:space="preserve"> 2</m:t>
                          </m:r>
                        </m:den>
                      </m:f>
                      <m:r>
                        <w:rPr>
                          <w:rFonts w:ascii="Cambria Math" w:hAnsi="Cambria Math" w:cstheme="majorBidi"/>
                          <w:sz w:val="24"/>
                          <w:szCs w:val="24"/>
                        </w:rPr>
                        <m:t>+</m:t>
                      </m:r>
                      <m:r>
                        <m:rPr>
                          <m:sty m:val="p"/>
                        </m:rPr>
                        <w:rPr>
                          <w:rFonts w:ascii="Cambria Math" w:hAnsi="Cambria Math" w:cstheme="majorBidi"/>
                          <w:sz w:val="24"/>
                          <w:szCs w:val="24"/>
                        </w:rPr>
                        <m:t>zβ)</m:t>
                      </m:r>
                    </m:e>
                    <m:sup>
                      <m:r>
                        <m:rPr>
                          <m:sty m:val="p"/>
                        </m:rPr>
                        <w:rPr>
                          <w:rFonts w:ascii="Cambria Math" w:hAnsi="Cambria Math" w:cstheme="majorBidi"/>
                          <w:sz w:val="24"/>
                          <w:szCs w:val="24"/>
                        </w:rPr>
                        <m:t xml:space="preserve"> </m:t>
                      </m:r>
                    </m:sup>
                  </m:sSup>
                  <m:r>
                    <m:rPr>
                      <m:sty m:val="p"/>
                    </m:rPr>
                    <w:rPr>
                      <w:rFonts w:ascii="Cambria Math" w:hAnsi="Cambria Math" w:cstheme="majorBidi"/>
                      <w:sz w:val="24"/>
                      <w:szCs w:val="24"/>
                    </w:rPr>
                    <m:t>σ</m:t>
                  </m:r>
                </m:num>
                <m:den>
                  <m:r>
                    <m:rPr>
                      <m:sty m:val="p"/>
                    </m:rPr>
                    <w:rPr>
                      <w:rFonts w:ascii="Cambria Math" w:hAnsi="Cambria Math" w:cstheme="majorBidi"/>
                      <w:sz w:val="24"/>
                      <w:szCs w:val="24"/>
                    </w:rPr>
                    <m:t>δ</m:t>
                  </m:r>
                </m:den>
              </m:f>
            </m:e>
          </m:d>
          <m:r>
            <w:rPr>
              <w:rFonts w:ascii="Cambria Math" w:hAnsi="Cambria Math" w:cstheme="majorBidi"/>
              <w:sz w:val="24"/>
              <w:szCs w:val="24"/>
            </w:rPr>
            <m:t>2</m:t>
          </m:r>
          <m:sSup>
            <m:sSupPr>
              <m:ctrlPr>
                <w:rPr>
                  <w:rFonts w:ascii="Cambria Math" w:hAnsi="Cambria Math" w:cstheme="majorBidi"/>
                  <w:i/>
                  <w:sz w:val="24"/>
                  <w:szCs w:val="24"/>
                </w:rPr>
              </m:ctrlPr>
            </m:sSupPr>
            <m:e>
              <m:d>
                <m:dPr>
                  <m:ctrlPr>
                    <w:rPr>
                      <w:rFonts w:ascii="Cambria Math" w:hAnsi="Cambria Math" w:cstheme="majorBidi"/>
                      <w:i/>
                      <w:sz w:val="24"/>
                      <w:szCs w:val="24"/>
                    </w:rPr>
                  </m:ctrlPr>
                </m:dPr>
                <m:e>
                  <m:f>
                    <m:fPr>
                      <m:ctrlPr>
                        <w:rPr>
                          <w:rFonts w:ascii="Cambria Math" w:hAnsi="Cambria Math" w:cstheme="majorBidi"/>
                          <w:i/>
                          <w:sz w:val="24"/>
                          <w:szCs w:val="24"/>
                        </w:rPr>
                      </m:ctrlPr>
                    </m:fPr>
                    <m:num>
                      <m:r>
                        <w:rPr>
                          <w:rFonts w:ascii="Cambria Math" w:hAnsi="Cambria Math" w:cstheme="majorBidi"/>
                          <w:sz w:val="24"/>
                          <w:szCs w:val="24"/>
                        </w:rPr>
                        <m:t>1</m:t>
                      </m:r>
                    </m:num>
                    <m:den>
                      <m:r>
                        <m:rPr>
                          <m:sty m:val="p"/>
                        </m:rPr>
                        <w:rPr>
                          <w:rFonts w:ascii="Cambria Math" w:hAnsi="Cambria Math" w:cstheme="majorBidi"/>
                          <w:sz w:val="24"/>
                          <w:szCs w:val="24"/>
                        </w:rPr>
                        <m:t xml:space="preserve">Q1 </m:t>
                      </m:r>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Cambria Math" w:cstheme="majorBidi"/>
                          <w:sz w:val="24"/>
                          <w:szCs w:val="24"/>
                        </w:rPr>
                        <m:t>1</m:t>
                      </m:r>
                    </m:num>
                    <m:den>
                      <m:r>
                        <m:rPr>
                          <m:sty m:val="p"/>
                        </m:rPr>
                        <w:rPr>
                          <w:rFonts w:ascii="Cambria Math" w:hAnsi="Cambria Math" w:cstheme="majorBidi"/>
                          <w:sz w:val="24"/>
                          <w:szCs w:val="24"/>
                        </w:rPr>
                        <m:t>Q2</m:t>
                      </m:r>
                    </m:den>
                  </m:f>
                </m:e>
              </m:d>
            </m:e>
            <m:sup>
              <m:r>
                <w:rPr>
                  <w:rFonts w:ascii="Cambria Math" w:hAnsi="Cambria Math" w:cstheme="majorBidi"/>
                  <w:sz w:val="24"/>
                  <w:szCs w:val="24"/>
                </w:rPr>
                <m:t>N</m:t>
              </m:r>
            </m:sup>
          </m:sSup>
        </m:oMath>
      </m:oMathPara>
    </w:p>
    <w:p w:rsidR="00A43A78" w:rsidRPr="00397285" w:rsidRDefault="005F15D3" w:rsidP="001D5206">
      <w:pPr>
        <w:spacing w:line="240" w:lineRule="auto"/>
        <w:jc w:val="both"/>
        <w:rPr>
          <w:rFonts w:asciiTheme="majorBidi" w:hAnsiTheme="majorBidi" w:cstheme="majorBidi"/>
          <w:b/>
          <w:bCs/>
          <w:sz w:val="24"/>
          <w:szCs w:val="24"/>
        </w:rPr>
      </w:pPr>
      <w:r>
        <w:rPr>
          <w:rFonts w:asciiTheme="majorBidi" w:hAnsiTheme="majorBidi" w:cstheme="majorBidi"/>
          <w:sz w:val="24"/>
          <w:szCs w:val="24"/>
        </w:rPr>
        <w:t> </w:t>
      </w:r>
      <w:r>
        <w:rPr>
          <w:rFonts w:asciiTheme="majorBidi" w:hAnsiTheme="majorBidi" w:cstheme="majorBidi"/>
          <w:sz w:val="24"/>
          <w:szCs w:val="24"/>
        </w:rPr>
        <w:t> </w:t>
      </w:r>
      <w:r w:rsidR="00A43A78" w:rsidRPr="00E02551">
        <w:rPr>
          <w:rFonts w:asciiTheme="majorBidi" w:hAnsiTheme="majorBidi" w:cstheme="majorBidi"/>
          <w:sz w:val="24"/>
          <w:szCs w:val="24"/>
        </w:rPr>
        <w:t>Data from previous studies were used to calculate the sample size regarding the PD change measurement.</w:t>
      </w:r>
      <w:r w:rsidR="00970A14">
        <w:rPr>
          <w:rFonts w:asciiTheme="majorBidi" w:hAnsiTheme="majorBidi" w:cstheme="majorBidi"/>
          <w:b/>
          <w:bCs/>
          <w:sz w:val="24"/>
          <w:szCs w:val="24"/>
          <w:vertAlign w:val="superscript"/>
        </w:rPr>
        <w:t xml:space="preserve"> [18]</w:t>
      </w:r>
      <w:r w:rsidR="00A43A78" w:rsidRPr="00E02551">
        <w:rPr>
          <w:rFonts w:asciiTheme="majorBidi" w:hAnsiTheme="majorBidi" w:cstheme="majorBidi"/>
          <w:b/>
          <w:bCs/>
          <w:sz w:val="24"/>
          <w:szCs w:val="24"/>
        </w:rPr>
        <w:t xml:space="preserve"> </w:t>
      </w:r>
      <w:r w:rsidR="00A43A78" w:rsidRPr="00E02551">
        <w:rPr>
          <w:rFonts w:asciiTheme="majorBidi" w:hAnsiTheme="majorBidi" w:cstheme="majorBidi"/>
          <w:sz w:val="24"/>
          <w:szCs w:val="24"/>
        </w:rPr>
        <w:t xml:space="preserve">It was found that the difference in PD (δ) is around 0.3mm, whereas the standard deviation in groups (σ) was around 0.2mm. Our aim was to achieve a statistical power of &gt; 90% as well as a 0.05 significance level. Thus, 18 participants per group were needed. However, as some dropouts may be expected, a minimum of </w:t>
      </w:r>
      <w:r w:rsidR="00A43A78" w:rsidRPr="000272AD">
        <w:rPr>
          <w:rFonts w:asciiTheme="majorBidi" w:hAnsiTheme="majorBidi" w:cstheme="majorBidi"/>
          <w:i/>
          <w:iCs/>
          <w:sz w:val="24"/>
          <w:szCs w:val="24"/>
        </w:rPr>
        <w:t>25 patients per group</w:t>
      </w:r>
      <w:r w:rsidR="00A43A78" w:rsidRPr="00E02551">
        <w:rPr>
          <w:rFonts w:asciiTheme="majorBidi" w:hAnsiTheme="majorBidi" w:cstheme="majorBidi"/>
          <w:sz w:val="24"/>
          <w:szCs w:val="24"/>
        </w:rPr>
        <w:t xml:space="preserve"> were recruited.</w:t>
      </w:r>
    </w:p>
    <w:p w:rsidR="006078B5" w:rsidRDefault="005F15D3" w:rsidP="001D5206">
      <w:pPr>
        <w:spacing w:line="240" w:lineRule="auto"/>
        <w:jc w:val="both"/>
        <w:rPr>
          <w:rFonts w:asciiTheme="majorBidi" w:hAnsiTheme="majorBidi" w:cstheme="majorBidi"/>
          <w:b/>
          <w:bCs/>
          <w:noProof/>
          <w:sz w:val="24"/>
          <w:szCs w:val="24"/>
          <w:vertAlign w:val="superscript"/>
        </w:rPr>
      </w:pPr>
      <w:r>
        <w:rPr>
          <w:rFonts w:asciiTheme="majorBidi" w:hAnsiTheme="majorBidi" w:cstheme="majorBidi"/>
          <w:sz w:val="24"/>
          <w:szCs w:val="24"/>
        </w:rPr>
        <w:t> </w:t>
      </w:r>
      <w:r>
        <w:rPr>
          <w:rFonts w:asciiTheme="majorBidi" w:hAnsiTheme="majorBidi" w:cstheme="majorBidi"/>
          <w:sz w:val="24"/>
          <w:szCs w:val="24"/>
        </w:rPr>
        <w:t> </w:t>
      </w:r>
      <w:r w:rsidR="00A43A78" w:rsidRPr="00E02551">
        <w:rPr>
          <w:rFonts w:asciiTheme="majorBidi" w:hAnsiTheme="majorBidi" w:cstheme="majorBidi"/>
          <w:sz w:val="24"/>
          <w:szCs w:val="24"/>
        </w:rPr>
        <w:t>Regarding the preparation of red I-PRF,</w:t>
      </w:r>
      <w:r w:rsidR="00A43A78" w:rsidRPr="00E02551">
        <w:rPr>
          <w:rFonts w:asciiTheme="majorBidi" w:hAnsiTheme="majorBidi" w:cstheme="majorBidi"/>
          <w:b/>
          <w:bCs/>
          <w:sz w:val="24"/>
          <w:szCs w:val="24"/>
        </w:rPr>
        <w:t xml:space="preserve"> </w:t>
      </w:r>
      <w:r w:rsidR="00A43A78" w:rsidRPr="00E02551">
        <w:rPr>
          <w:rFonts w:asciiTheme="majorBidi" w:hAnsiTheme="majorBidi" w:cstheme="majorBidi"/>
          <w:sz w:val="24"/>
          <w:szCs w:val="24"/>
        </w:rPr>
        <w:t xml:space="preserve">first, 20 mL of patient’s blood was collected by venipuncture of the median cubital vein. Then, the blood was distributed into two ten mL glass tubes (containing no anticoagulant).  The tubes were shaken before being placed into a centrifuge to prevent clots from developing. The centrifuge was set for 700 rpm for three min (60 g force) at room temperature using a </w:t>
      </w:r>
      <w:proofErr w:type="spellStart"/>
      <w:r w:rsidR="00A43A78" w:rsidRPr="00E02551">
        <w:rPr>
          <w:rFonts w:asciiTheme="majorBidi" w:hAnsiTheme="majorBidi" w:cstheme="majorBidi"/>
          <w:sz w:val="24"/>
          <w:szCs w:val="24"/>
        </w:rPr>
        <w:t>Choukroun</w:t>
      </w:r>
      <w:proofErr w:type="spellEnd"/>
      <w:r w:rsidR="00A43A78" w:rsidRPr="00E02551">
        <w:rPr>
          <w:rFonts w:asciiTheme="majorBidi" w:hAnsiTheme="majorBidi" w:cstheme="majorBidi"/>
          <w:sz w:val="24"/>
          <w:szCs w:val="24"/>
        </w:rPr>
        <w:t xml:space="preserve"> PRF Duo Centrifuge. After centrifugation, three layers were formed in each tube: the red blood cells in the bottom, the PRF layer in the middle, and the platelet poor plasma at the top. After that, one mL was taken from the upper liquid red and yellow layer with the buffy coat (demonstrate the red i-PRF)</w:t>
      </w:r>
      <w:r w:rsidR="00A43A78" w:rsidRPr="00E02551">
        <w:rPr>
          <w:rFonts w:asciiTheme="majorBidi" w:hAnsiTheme="majorBidi" w:cstheme="majorBidi"/>
          <w:i/>
          <w:iCs/>
          <w:color w:val="808080" w:themeColor="background1" w:themeShade="80"/>
          <w:sz w:val="24"/>
          <w:szCs w:val="24"/>
        </w:rPr>
        <w:t xml:space="preserve"> (figure 1)</w:t>
      </w:r>
      <w:r w:rsidR="00A43A78" w:rsidRPr="00E02551">
        <w:rPr>
          <w:rFonts w:asciiTheme="majorBidi" w:hAnsiTheme="majorBidi" w:cstheme="majorBidi"/>
          <w:sz w:val="24"/>
          <w:szCs w:val="24"/>
        </w:rPr>
        <w:t>. Note that the bevel edge of the harvesting needle as used as a reference point.</w:t>
      </w:r>
      <w:r w:rsidR="00970A14">
        <w:rPr>
          <w:rFonts w:asciiTheme="majorBidi" w:hAnsiTheme="majorBidi" w:cstheme="majorBidi"/>
          <w:b/>
          <w:bCs/>
          <w:noProof/>
          <w:sz w:val="24"/>
          <w:szCs w:val="24"/>
          <w:vertAlign w:val="superscript"/>
        </w:rPr>
        <w:t xml:space="preserve"> [19, 20]</w:t>
      </w:r>
    </w:p>
    <w:p w:rsidR="00A43A78" w:rsidRDefault="00EC40A2" w:rsidP="001D5206">
      <w:pPr>
        <w:spacing w:line="240" w:lineRule="auto"/>
        <w:jc w:val="both"/>
        <w:rPr>
          <w:rFonts w:asciiTheme="majorBidi" w:hAnsiTheme="majorBidi" w:cstheme="majorBidi"/>
          <w:b/>
          <w:bCs/>
          <w:noProof/>
          <w:sz w:val="24"/>
          <w:szCs w:val="24"/>
          <w:vertAlign w:val="superscript"/>
        </w:rPr>
      </w:pPr>
      <w:r w:rsidRPr="00A43A78">
        <w:rPr>
          <w:rFonts w:asciiTheme="majorBidi" w:hAnsiTheme="majorBidi" w:cstheme="majorBidi"/>
          <w:noProof/>
          <w:sz w:val="24"/>
          <w:szCs w:val="24"/>
        </w:rPr>
        <mc:AlternateContent>
          <mc:Choice Requires="wps">
            <w:drawing>
              <wp:anchor distT="45720" distB="45720" distL="114300" distR="114300" simplePos="0" relativeHeight="251677696" behindDoc="0" locked="0" layoutInCell="1" allowOverlap="1" wp14:anchorId="7CF72527" wp14:editId="305955F6">
                <wp:simplePos x="0" y="0"/>
                <wp:positionH relativeFrom="column">
                  <wp:posOffset>1399735</wp:posOffset>
                </wp:positionH>
                <wp:positionV relativeFrom="paragraph">
                  <wp:posOffset>71755</wp:posOffset>
                </wp:positionV>
                <wp:extent cx="3446585" cy="647114"/>
                <wp:effectExtent l="0" t="0" r="0" b="63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5" cy="647114"/>
                        </a:xfrm>
                        <a:prstGeom prst="rect">
                          <a:avLst/>
                        </a:prstGeom>
                        <a:noFill/>
                        <a:ln w="9525">
                          <a:noFill/>
                          <a:miter lim="800000"/>
                          <a:headEnd/>
                          <a:tailEnd/>
                        </a:ln>
                      </wps:spPr>
                      <wps:txbx>
                        <w:txbxContent>
                          <w:p w:rsidR="00EC40A2" w:rsidRPr="00E02551" w:rsidRDefault="00EC40A2" w:rsidP="00EC40A2">
                            <w:pPr>
                              <w:spacing w:line="240" w:lineRule="auto"/>
                              <w:jc w:val="both"/>
                              <w:rPr>
                                <w:rFonts w:asciiTheme="majorBidi" w:hAnsiTheme="majorBidi" w:cstheme="majorBidi"/>
                                <w:sz w:val="24"/>
                                <w:szCs w:val="24"/>
                              </w:rPr>
                            </w:pPr>
                            <w:r>
                              <w:rPr>
                                <w:rFonts w:asciiTheme="majorBidi" w:hAnsiTheme="majorBidi" w:cstheme="majorBidi"/>
                                <w:b/>
                                <w:bCs/>
                                <w:i/>
                                <w:iCs/>
                                <w:sz w:val="24"/>
                                <w:szCs w:val="24"/>
                              </w:rPr>
                              <w:t xml:space="preserve">Figure 1: </w:t>
                            </w:r>
                            <w:r w:rsidRPr="00E02551">
                              <w:rPr>
                                <w:rFonts w:asciiTheme="majorBidi" w:hAnsiTheme="majorBidi" w:cstheme="majorBidi"/>
                                <w:sz w:val="24"/>
                                <w:szCs w:val="24"/>
                              </w:rPr>
                              <w:t>one  mL  taken  from  the  upper  liquid  red  and  yellow  layer  with  the  buffy  coat</w:t>
                            </w:r>
                          </w:p>
                          <w:p w:rsidR="00EC40A2" w:rsidRPr="003659D5" w:rsidRDefault="00EC40A2" w:rsidP="00EC40A2">
                            <w:pPr>
                              <w:spacing w:line="360" w:lineRule="auto"/>
                              <w:jc w:val="both"/>
                              <w:rPr>
                                <w:rFonts w:asciiTheme="majorBidi" w:hAnsiTheme="majorBidi" w:cstheme="majorBidi"/>
                                <w:sz w:val="24"/>
                                <w:szCs w:val="24"/>
                              </w:rPr>
                            </w:pPr>
                          </w:p>
                          <w:p w:rsidR="00EC40A2" w:rsidRDefault="00EC40A2" w:rsidP="00EC40A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F72527" id="_x0000_t202" coordsize="21600,21600" o:spt="202" path="m,l,21600r21600,l21600,xe">
                <v:stroke joinstyle="miter"/>
                <v:path gradientshapeok="t" o:connecttype="rect"/>
              </v:shapetype>
              <v:shape id="Text Box 2" o:spid="_x0000_s1026" type="#_x0000_t202" style="position:absolute;left:0;text-align:left;margin-left:110.2pt;margin-top:5.65pt;width:271.4pt;height:50.9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" filled="f" stroked="f">
                <v:textbox>
                  <w:txbxContent>
                    <w:p w:rsidR="00EC40A2" w:rsidRPr="00E02551" w:rsidRDefault="00EC40A2" w:rsidP="00EC40A2">
                      <w:pPr>
                        <w:spacing w:line="240" w:lineRule="auto"/>
                        <w:jc w:val="both"/>
                        <w:rPr>
                          <w:rFonts w:asciiTheme="majorBidi" w:hAnsiTheme="majorBidi" w:cstheme="majorBidi"/>
                          <w:sz w:val="24"/>
                          <w:szCs w:val="24"/>
                        </w:rPr>
                      </w:pPr>
                      <w:r>
                        <w:rPr>
                          <w:rFonts w:asciiTheme="majorBidi" w:hAnsiTheme="majorBidi" w:cstheme="majorBidi"/>
                          <w:b/>
                          <w:bCs/>
                          <w:i/>
                          <w:iCs/>
                          <w:sz w:val="24"/>
                          <w:szCs w:val="24"/>
                        </w:rPr>
                        <w:t xml:space="preserve">Figure 1: </w:t>
                      </w:r>
                      <w:proofErr w:type="gramStart"/>
                      <w:r w:rsidRPr="00E02551">
                        <w:rPr>
                          <w:rFonts w:asciiTheme="majorBidi" w:hAnsiTheme="majorBidi" w:cstheme="majorBidi"/>
                          <w:sz w:val="24"/>
                          <w:szCs w:val="24"/>
                        </w:rPr>
                        <w:t>one  mL</w:t>
                      </w:r>
                      <w:proofErr w:type="gramEnd"/>
                      <w:r w:rsidRPr="00E02551">
                        <w:rPr>
                          <w:rFonts w:asciiTheme="majorBidi" w:hAnsiTheme="majorBidi" w:cstheme="majorBidi"/>
                          <w:sz w:val="24"/>
                          <w:szCs w:val="24"/>
                        </w:rPr>
                        <w:t xml:space="preserve">  taken  from  the  upper  liquid  red  and  yellow  layer  with  the  buffy  coat</w:t>
                      </w:r>
                    </w:p>
                    <w:p w:rsidR="00EC40A2" w:rsidRPr="003659D5" w:rsidRDefault="00EC40A2" w:rsidP="00EC40A2">
                      <w:pPr>
                        <w:spacing w:line="360" w:lineRule="auto"/>
                        <w:jc w:val="both"/>
                        <w:rPr>
                          <w:rFonts w:asciiTheme="majorBidi" w:hAnsiTheme="majorBidi" w:cstheme="majorBidi"/>
                          <w:sz w:val="24"/>
                          <w:szCs w:val="24"/>
                        </w:rPr>
                      </w:pPr>
                    </w:p>
                    <w:p w:rsidR="00EC40A2" w:rsidRDefault="00EC40A2" w:rsidP="00EC40A2"/>
                  </w:txbxContent>
                </v:textbox>
              </v:shape>
            </w:pict>
          </mc:Fallback>
        </mc:AlternateContent>
      </w:r>
      <w:r w:rsidR="006E49A1">
        <w:rPr>
          <w:rFonts w:asciiTheme="majorBidi" w:hAnsiTheme="majorBidi" w:cstheme="majorBidi"/>
          <w:b/>
          <w:bCs/>
          <w:noProof/>
          <w:sz w:val="24"/>
          <w:szCs w:val="24"/>
          <w:vertAlign w:val="superscript"/>
        </w:rPr>
        <w:drawing>
          <wp:anchor distT="0" distB="0" distL="114300" distR="114300" simplePos="0" relativeHeight="251659264" behindDoc="0" locked="0" layoutInCell="1" allowOverlap="1" wp14:anchorId="6AD30D8C" wp14:editId="3DBBAEF8">
            <wp:simplePos x="0" y="0"/>
            <wp:positionH relativeFrom="column">
              <wp:posOffset>154</wp:posOffset>
            </wp:positionH>
            <wp:positionV relativeFrom="paragraph">
              <wp:posOffset>8450</wp:posOffset>
            </wp:positionV>
            <wp:extent cx="1399735" cy="227259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9735" cy="2272596"/>
                    </a:xfrm>
                    <a:prstGeom prst="rect">
                      <a:avLst/>
                    </a:prstGeom>
                  </pic:spPr>
                </pic:pic>
              </a:graphicData>
            </a:graphic>
            <wp14:sizeRelH relativeFrom="margin">
              <wp14:pctWidth>0</wp14:pctWidth>
            </wp14:sizeRelH>
            <wp14:sizeRelV relativeFrom="margin">
              <wp14:pctHeight>0</wp14:pctHeight>
            </wp14:sizeRelV>
          </wp:anchor>
        </w:drawing>
      </w:r>
    </w:p>
    <w:p w:rsidR="00A43A78" w:rsidRDefault="00A43A78" w:rsidP="001D5206">
      <w:pPr>
        <w:spacing w:line="240" w:lineRule="auto"/>
        <w:jc w:val="both"/>
        <w:rPr>
          <w:rFonts w:asciiTheme="majorBidi" w:hAnsiTheme="majorBidi" w:cstheme="majorBidi"/>
          <w:b/>
          <w:bCs/>
          <w:noProof/>
          <w:sz w:val="24"/>
          <w:szCs w:val="24"/>
          <w:vertAlign w:val="superscript"/>
        </w:rPr>
      </w:pPr>
    </w:p>
    <w:p w:rsidR="00A43A78" w:rsidRDefault="00A43A78" w:rsidP="001D5206">
      <w:pPr>
        <w:spacing w:line="240" w:lineRule="auto"/>
        <w:jc w:val="both"/>
        <w:rPr>
          <w:rFonts w:asciiTheme="majorBidi" w:hAnsiTheme="majorBidi" w:cstheme="majorBidi"/>
          <w:b/>
          <w:bCs/>
          <w:noProof/>
          <w:sz w:val="24"/>
          <w:szCs w:val="24"/>
          <w:vertAlign w:val="superscript"/>
        </w:rPr>
      </w:pPr>
    </w:p>
    <w:p w:rsidR="00A43A78" w:rsidRDefault="00A43A78" w:rsidP="001D5206">
      <w:pPr>
        <w:spacing w:line="240" w:lineRule="auto"/>
        <w:jc w:val="both"/>
        <w:rPr>
          <w:rFonts w:asciiTheme="majorBidi" w:hAnsiTheme="majorBidi" w:cstheme="majorBidi"/>
          <w:b/>
          <w:bCs/>
          <w:noProof/>
          <w:sz w:val="24"/>
          <w:szCs w:val="24"/>
          <w:vertAlign w:val="superscript"/>
        </w:rPr>
      </w:pPr>
    </w:p>
    <w:p w:rsidR="00A43A78" w:rsidRDefault="00A43A78" w:rsidP="001D5206">
      <w:pPr>
        <w:spacing w:line="240" w:lineRule="auto"/>
        <w:jc w:val="both"/>
        <w:rPr>
          <w:rFonts w:asciiTheme="majorBidi" w:hAnsiTheme="majorBidi" w:cstheme="majorBidi"/>
          <w:b/>
          <w:bCs/>
          <w:noProof/>
          <w:sz w:val="24"/>
          <w:szCs w:val="24"/>
          <w:vertAlign w:val="superscript"/>
        </w:rPr>
      </w:pPr>
    </w:p>
    <w:p w:rsidR="00A43A78" w:rsidRPr="00E02551" w:rsidRDefault="00A43A78" w:rsidP="001D5206">
      <w:pPr>
        <w:spacing w:line="240" w:lineRule="auto"/>
        <w:jc w:val="both"/>
        <w:rPr>
          <w:rFonts w:asciiTheme="majorBidi" w:hAnsiTheme="majorBidi" w:cstheme="majorBidi"/>
          <w:noProof/>
          <w:sz w:val="24"/>
          <w:szCs w:val="24"/>
        </w:rPr>
      </w:pPr>
    </w:p>
    <w:p w:rsidR="006078B5" w:rsidRDefault="005F15D3" w:rsidP="001D5206">
      <w:pPr>
        <w:spacing w:line="240" w:lineRule="auto"/>
        <w:jc w:val="both"/>
        <w:rPr>
          <w:rFonts w:asciiTheme="majorBidi" w:hAnsiTheme="majorBidi" w:cstheme="majorBidi"/>
          <w:sz w:val="24"/>
          <w:szCs w:val="24"/>
        </w:rPr>
      </w:pPr>
      <w:r>
        <w:rPr>
          <w:rFonts w:asciiTheme="majorBidi" w:hAnsiTheme="majorBidi" w:cstheme="majorBidi"/>
          <w:sz w:val="24"/>
          <w:szCs w:val="24"/>
        </w:rPr>
        <w:t> </w:t>
      </w:r>
      <w:r>
        <w:rPr>
          <w:rFonts w:asciiTheme="majorBidi" w:hAnsiTheme="majorBidi" w:cstheme="majorBidi"/>
          <w:sz w:val="24"/>
          <w:szCs w:val="24"/>
        </w:rPr>
        <w:t> </w:t>
      </w:r>
    </w:p>
    <w:p w:rsidR="006E49A1" w:rsidRDefault="006E49A1" w:rsidP="006E49A1">
      <w:pPr>
        <w:spacing w:line="240" w:lineRule="auto"/>
        <w:jc w:val="both"/>
        <w:rPr>
          <w:rFonts w:asciiTheme="majorBidi" w:hAnsiTheme="majorBidi" w:cstheme="majorBidi"/>
          <w:sz w:val="24"/>
          <w:szCs w:val="24"/>
        </w:rPr>
      </w:pPr>
    </w:p>
    <w:p w:rsidR="006E49A1" w:rsidRDefault="006E49A1" w:rsidP="006E49A1">
      <w:pPr>
        <w:spacing w:line="240" w:lineRule="auto"/>
        <w:jc w:val="both"/>
        <w:rPr>
          <w:rFonts w:asciiTheme="majorBidi" w:hAnsiTheme="majorBidi" w:cstheme="majorBidi"/>
          <w:sz w:val="24"/>
          <w:szCs w:val="24"/>
        </w:rPr>
      </w:pPr>
    </w:p>
    <w:p w:rsidR="006E49A1" w:rsidRDefault="006E49A1" w:rsidP="006E49A1">
      <w:pPr>
        <w:spacing w:line="240" w:lineRule="auto"/>
        <w:jc w:val="both"/>
        <w:rPr>
          <w:rFonts w:asciiTheme="majorBidi" w:hAnsiTheme="majorBidi" w:cstheme="majorBidi"/>
          <w:sz w:val="24"/>
          <w:szCs w:val="24"/>
        </w:rPr>
      </w:pPr>
    </w:p>
    <w:p w:rsidR="00A43A78" w:rsidRDefault="00A43A78" w:rsidP="006E49A1">
      <w:pPr>
        <w:spacing w:line="240" w:lineRule="auto"/>
        <w:jc w:val="both"/>
        <w:rPr>
          <w:rFonts w:asciiTheme="majorBidi" w:hAnsiTheme="majorBidi" w:cstheme="majorBidi"/>
          <w:i/>
          <w:iCs/>
          <w:color w:val="808080" w:themeColor="background1" w:themeShade="80"/>
          <w:sz w:val="24"/>
          <w:szCs w:val="24"/>
        </w:rPr>
      </w:pPr>
      <w:r w:rsidRPr="00E02551">
        <w:rPr>
          <w:rFonts w:asciiTheme="majorBidi" w:hAnsiTheme="majorBidi" w:cstheme="majorBidi"/>
          <w:sz w:val="24"/>
          <w:szCs w:val="24"/>
        </w:rPr>
        <w:t xml:space="preserve">After that, topical anesthesia was applied to the site of injection. Then, the obtained red i-PRF was placed in a 2.5 cc dental injector (27-gauge needle). The red i-PRF was injected into the pocket at the point of interdental space </w:t>
      </w:r>
      <w:r w:rsidRPr="00E02551">
        <w:rPr>
          <w:rFonts w:asciiTheme="majorBidi" w:hAnsiTheme="majorBidi" w:cstheme="majorBidi"/>
          <w:i/>
          <w:iCs/>
          <w:color w:val="808080" w:themeColor="background1" w:themeShade="80"/>
          <w:sz w:val="24"/>
          <w:szCs w:val="24"/>
        </w:rPr>
        <w:t>(figure 2)</w:t>
      </w:r>
      <w:r w:rsidRPr="00E02551">
        <w:rPr>
          <w:rFonts w:asciiTheme="majorBidi" w:hAnsiTheme="majorBidi" w:cstheme="majorBidi"/>
          <w:i/>
          <w:iCs/>
          <w:sz w:val="24"/>
          <w:szCs w:val="24"/>
        </w:rPr>
        <w:t>.</w:t>
      </w:r>
      <w:r w:rsidRPr="00E02551">
        <w:rPr>
          <w:rFonts w:asciiTheme="majorBidi" w:hAnsiTheme="majorBidi" w:cstheme="majorBidi"/>
          <w:sz w:val="24"/>
          <w:szCs w:val="24"/>
        </w:rPr>
        <w:t xml:space="preserve"> Moreover, to control bleeding due to the needle tip after the procedure, a </w:t>
      </w:r>
      <w:r w:rsidRPr="00E02551">
        <w:rPr>
          <w:rFonts w:asciiTheme="majorBidi" w:hAnsiTheme="majorBidi" w:cstheme="majorBidi"/>
          <w:sz w:val="24"/>
          <w:szCs w:val="24"/>
        </w:rPr>
        <w:lastRenderedPageBreak/>
        <w:t xml:space="preserve">saline-soaked sponge was placed between the lip and the gingiva and removed after 15 minutes. A total of four sessions of i-PRF were administered to patients at a ten-day interval. On the other hand, after </w:t>
      </w:r>
      <w:r w:rsidR="006E1FE7">
        <w:rPr>
          <w:rFonts w:asciiTheme="majorBidi" w:hAnsiTheme="majorBidi" w:cstheme="majorBidi"/>
          <w:lang w:val="en-GB"/>
        </w:rPr>
        <w:t>PMRP</w:t>
      </w:r>
      <w:r w:rsidRPr="00E02551">
        <w:rPr>
          <w:rFonts w:asciiTheme="majorBidi" w:hAnsiTheme="majorBidi" w:cstheme="majorBidi"/>
          <w:sz w:val="24"/>
          <w:szCs w:val="24"/>
        </w:rPr>
        <w:t>, hyaluronic acid (GENGIGEL®) was applied in the following forms (one ml of 0.8% HA was injected subgingivally once every four weeks), topically (0.2 ml of 0.8% HA was applied by the patient twice daily for the following 14 days aft</w:t>
      </w:r>
      <w:r>
        <w:rPr>
          <w:rFonts w:asciiTheme="majorBidi" w:hAnsiTheme="majorBidi" w:cstheme="majorBidi"/>
          <w:sz w:val="24"/>
          <w:szCs w:val="24"/>
        </w:rPr>
        <w:t xml:space="preserve">er the subgingival application) </w:t>
      </w:r>
      <w:r>
        <w:rPr>
          <w:rFonts w:asciiTheme="majorBidi" w:hAnsiTheme="majorBidi" w:cstheme="majorBidi"/>
          <w:i/>
          <w:iCs/>
          <w:color w:val="808080" w:themeColor="background1" w:themeShade="80"/>
          <w:sz w:val="24"/>
          <w:szCs w:val="24"/>
        </w:rPr>
        <w:t>(figure 3</w:t>
      </w:r>
      <w:r w:rsidRPr="00E02551">
        <w:rPr>
          <w:rFonts w:asciiTheme="majorBidi" w:hAnsiTheme="majorBidi" w:cstheme="majorBidi"/>
          <w:i/>
          <w:iCs/>
          <w:color w:val="808080" w:themeColor="background1" w:themeShade="80"/>
          <w:sz w:val="24"/>
          <w:szCs w:val="24"/>
        </w:rPr>
        <w:t>)</w:t>
      </w:r>
      <w:r>
        <w:rPr>
          <w:rFonts w:asciiTheme="majorBidi" w:hAnsiTheme="majorBidi" w:cstheme="majorBidi"/>
          <w:i/>
          <w:iCs/>
          <w:color w:val="808080" w:themeColor="background1" w:themeShade="80"/>
          <w:sz w:val="24"/>
          <w:szCs w:val="24"/>
        </w:rPr>
        <w:t>.</w:t>
      </w:r>
    </w:p>
    <w:p w:rsidR="007A0677" w:rsidRDefault="006E49A1" w:rsidP="001D5206">
      <w:pPr>
        <w:spacing w:line="240" w:lineRule="auto"/>
        <w:jc w:val="both"/>
        <w:rPr>
          <w:rFonts w:asciiTheme="majorBidi" w:hAnsiTheme="majorBidi" w:cstheme="majorBidi"/>
          <w:i/>
          <w:iCs/>
          <w:color w:val="808080" w:themeColor="background1" w:themeShade="80"/>
          <w:sz w:val="24"/>
          <w:szCs w:val="24"/>
        </w:rPr>
      </w:pPr>
      <w:r w:rsidRPr="00A43A78">
        <w:rPr>
          <w:rFonts w:asciiTheme="majorBidi" w:hAnsiTheme="majorBidi" w:cstheme="majorBidi"/>
          <w:noProof/>
          <w:sz w:val="24"/>
          <w:szCs w:val="24"/>
        </w:rPr>
        <w:drawing>
          <wp:anchor distT="0" distB="0" distL="114300" distR="114300" simplePos="0" relativeHeight="251663360" behindDoc="0" locked="0" layoutInCell="1" allowOverlap="1" wp14:anchorId="272705FA" wp14:editId="1F1D10A7">
            <wp:simplePos x="0" y="0"/>
            <wp:positionH relativeFrom="column">
              <wp:posOffset>-1</wp:posOffset>
            </wp:positionH>
            <wp:positionV relativeFrom="paragraph">
              <wp:posOffset>253023</wp:posOffset>
            </wp:positionV>
            <wp:extent cx="1930897" cy="163888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39322" cy="1646037"/>
                    </a:xfrm>
                    <a:prstGeom prst="rect">
                      <a:avLst/>
                    </a:prstGeom>
                  </pic:spPr>
                </pic:pic>
              </a:graphicData>
            </a:graphic>
            <wp14:sizeRelH relativeFrom="margin">
              <wp14:pctWidth>0</wp14:pctWidth>
            </wp14:sizeRelH>
            <wp14:sizeRelV relativeFrom="margin">
              <wp14:pctHeight>0</wp14:pctHeight>
            </wp14:sizeRelV>
          </wp:anchor>
        </w:drawing>
      </w:r>
    </w:p>
    <w:p w:rsidR="007A0677" w:rsidRDefault="00EC40A2" w:rsidP="001D5206">
      <w:pPr>
        <w:spacing w:line="240" w:lineRule="auto"/>
        <w:jc w:val="both"/>
        <w:rPr>
          <w:rFonts w:asciiTheme="majorBidi" w:hAnsiTheme="majorBidi" w:cstheme="majorBidi"/>
          <w:i/>
          <w:iCs/>
          <w:color w:val="808080" w:themeColor="background1" w:themeShade="80"/>
          <w:sz w:val="24"/>
          <w:szCs w:val="24"/>
        </w:rPr>
      </w:pPr>
      <w:r w:rsidRPr="00A43A78">
        <w:rPr>
          <w:rFonts w:asciiTheme="majorBidi" w:hAnsiTheme="majorBidi" w:cstheme="majorBidi"/>
          <w:noProof/>
          <w:sz w:val="24"/>
          <w:szCs w:val="24"/>
        </w:rPr>
        <mc:AlternateContent>
          <mc:Choice Requires="wps">
            <w:drawing>
              <wp:anchor distT="45720" distB="45720" distL="114300" distR="114300" simplePos="0" relativeHeight="251666432" behindDoc="0" locked="0" layoutInCell="1" allowOverlap="1" wp14:anchorId="006D8FC9" wp14:editId="0631CF64">
                <wp:simplePos x="0" y="0"/>
                <wp:positionH relativeFrom="column">
                  <wp:posOffset>2039815</wp:posOffset>
                </wp:positionH>
                <wp:positionV relativeFrom="paragraph">
                  <wp:posOffset>33605</wp:posOffset>
                </wp:positionV>
                <wp:extent cx="2771336" cy="1146517"/>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336" cy="1146517"/>
                        </a:xfrm>
                        <a:prstGeom prst="rect">
                          <a:avLst/>
                        </a:prstGeom>
                        <a:noFill/>
                        <a:ln w="9525">
                          <a:noFill/>
                          <a:miter lim="800000"/>
                          <a:headEnd/>
                          <a:tailEnd/>
                        </a:ln>
                      </wps:spPr>
                      <wps:txbx>
                        <w:txbxContent>
                          <w:p w:rsidR="00EC40A2" w:rsidRPr="00E02551" w:rsidRDefault="00A43A78" w:rsidP="00EC40A2">
                            <w:pPr>
                              <w:spacing w:line="240" w:lineRule="auto"/>
                              <w:jc w:val="both"/>
                              <w:rPr>
                                <w:rFonts w:asciiTheme="majorBidi" w:hAnsiTheme="majorBidi" w:cstheme="majorBidi"/>
                                <w:sz w:val="24"/>
                                <w:szCs w:val="24"/>
                              </w:rPr>
                            </w:pPr>
                            <w:r w:rsidRPr="00A43A78">
                              <w:rPr>
                                <w:rFonts w:asciiTheme="majorBidi" w:hAnsiTheme="majorBidi" w:cstheme="majorBidi"/>
                                <w:b/>
                                <w:bCs/>
                                <w:i/>
                                <w:iCs/>
                                <w:sz w:val="24"/>
                                <w:szCs w:val="24"/>
                              </w:rPr>
                              <w:t>Figure 2</w:t>
                            </w:r>
                            <w:r w:rsidRPr="003659D5">
                              <w:rPr>
                                <w:rFonts w:asciiTheme="majorBidi" w:hAnsiTheme="majorBidi" w:cstheme="majorBidi"/>
                                <w:sz w:val="24"/>
                                <w:szCs w:val="24"/>
                              </w:rPr>
                              <w:t xml:space="preserve"> </w:t>
                            </w:r>
                            <w:r w:rsidR="00EC40A2">
                              <w:rPr>
                                <w:rFonts w:asciiTheme="majorBidi" w:hAnsiTheme="majorBidi" w:cstheme="majorBidi"/>
                                <w:sz w:val="24"/>
                                <w:szCs w:val="24"/>
                              </w:rPr>
                              <w:t xml:space="preserve">: </w:t>
                            </w:r>
                            <w:r w:rsidR="00EC40A2" w:rsidRPr="00E02551">
                              <w:rPr>
                                <w:rFonts w:asciiTheme="majorBidi" w:hAnsiTheme="majorBidi" w:cstheme="majorBidi"/>
                                <w:sz w:val="24"/>
                                <w:szCs w:val="24"/>
                              </w:rPr>
                              <w:t>The  red  i-PRF  injected  into  the  pocket  at  the  point  of  interdental  space</w:t>
                            </w:r>
                          </w:p>
                          <w:p w:rsidR="00EC40A2" w:rsidRPr="00E02551" w:rsidRDefault="00EC40A2" w:rsidP="00EC40A2">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 xml:space="preserve">Note  that  the  red  color  on  teeth  is  the  topical  anesthesia  gel. </w:t>
                            </w:r>
                          </w:p>
                          <w:p w:rsidR="00A43A78" w:rsidRPr="003659D5" w:rsidRDefault="00A43A78" w:rsidP="006508B4">
                            <w:pPr>
                              <w:spacing w:line="360" w:lineRule="auto"/>
                              <w:jc w:val="both"/>
                              <w:rPr>
                                <w:rFonts w:asciiTheme="majorBidi" w:hAnsiTheme="majorBidi" w:cstheme="majorBidi"/>
                                <w:sz w:val="24"/>
                                <w:szCs w:val="24"/>
                              </w:rPr>
                            </w:pPr>
                          </w:p>
                          <w:p w:rsidR="00A43A78" w:rsidRDefault="00A43A78" w:rsidP="00A43A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6D8FC9" id="_x0000_s1027" type="#_x0000_t202" style="position:absolute;left:0;text-align:left;margin-left:160.6pt;margin-top:2.65pt;width:218.2pt;height:90.3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" filled="f" stroked="f">
                <v:textbox>
                  <w:txbxContent>
                    <w:p w:rsidR="00EC40A2" w:rsidRPr="00E02551" w:rsidRDefault="00A43A78" w:rsidP="00EC40A2">
                      <w:pPr>
                        <w:spacing w:line="240" w:lineRule="auto"/>
                        <w:jc w:val="both"/>
                        <w:rPr>
                          <w:rFonts w:asciiTheme="majorBidi" w:hAnsiTheme="majorBidi" w:cstheme="majorBidi"/>
                          <w:sz w:val="24"/>
                          <w:szCs w:val="24"/>
                        </w:rPr>
                      </w:pPr>
                      <w:r w:rsidRPr="00A43A78">
                        <w:rPr>
                          <w:rFonts w:asciiTheme="majorBidi" w:hAnsiTheme="majorBidi" w:cstheme="majorBidi"/>
                          <w:b/>
                          <w:bCs/>
                          <w:i/>
                          <w:iCs/>
                          <w:sz w:val="24"/>
                          <w:szCs w:val="24"/>
                        </w:rPr>
                        <w:t xml:space="preserve">Figure </w:t>
                      </w:r>
                      <w:proofErr w:type="gramStart"/>
                      <w:r w:rsidRPr="00A43A78">
                        <w:rPr>
                          <w:rFonts w:asciiTheme="majorBidi" w:hAnsiTheme="majorBidi" w:cstheme="majorBidi"/>
                          <w:b/>
                          <w:bCs/>
                          <w:i/>
                          <w:iCs/>
                          <w:sz w:val="24"/>
                          <w:szCs w:val="24"/>
                        </w:rPr>
                        <w:t>2</w:t>
                      </w:r>
                      <w:r w:rsidRPr="003659D5">
                        <w:rPr>
                          <w:rFonts w:asciiTheme="majorBidi" w:hAnsiTheme="majorBidi" w:cstheme="majorBidi"/>
                          <w:sz w:val="24"/>
                          <w:szCs w:val="24"/>
                        </w:rPr>
                        <w:t xml:space="preserve"> </w:t>
                      </w:r>
                      <w:r w:rsidR="00EC40A2">
                        <w:rPr>
                          <w:rFonts w:asciiTheme="majorBidi" w:hAnsiTheme="majorBidi" w:cstheme="majorBidi"/>
                          <w:sz w:val="24"/>
                          <w:szCs w:val="24"/>
                        </w:rPr>
                        <w:t>:</w:t>
                      </w:r>
                      <w:proofErr w:type="gramEnd"/>
                      <w:r w:rsidR="00EC40A2">
                        <w:rPr>
                          <w:rFonts w:asciiTheme="majorBidi" w:hAnsiTheme="majorBidi" w:cstheme="majorBidi"/>
                          <w:sz w:val="24"/>
                          <w:szCs w:val="24"/>
                        </w:rPr>
                        <w:t xml:space="preserve"> </w:t>
                      </w:r>
                      <w:r w:rsidR="00EC40A2" w:rsidRPr="00E02551">
                        <w:rPr>
                          <w:rFonts w:asciiTheme="majorBidi" w:hAnsiTheme="majorBidi" w:cstheme="majorBidi"/>
                          <w:sz w:val="24"/>
                          <w:szCs w:val="24"/>
                        </w:rPr>
                        <w:t>The  red  i-PRF  injected  into  the  pocket  at  the  point  of  interdental  space</w:t>
                      </w:r>
                    </w:p>
                    <w:p w:rsidR="00EC40A2" w:rsidRPr="00E02551" w:rsidRDefault="00EC40A2" w:rsidP="00EC40A2">
                      <w:pPr>
                        <w:spacing w:line="240" w:lineRule="auto"/>
                        <w:jc w:val="both"/>
                        <w:rPr>
                          <w:rFonts w:asciiTheme="majorBidi" w:hAnsiTheme="majorBidi" w:cstheme="majorBidi"/>
                          <w:sz w:val="24"/>
                          <w:szCs w:val="24"/>
                        </w:rPr>
                      </w:pPr>
                      <w:proofErr w:type="gramStart"/>
                      <w:r w:rsidRPr="00E02551">
                        <w:rPr>
                          <w:rFonts w:asciiTheme="majorBidi" w:hAnsiTheme="majorBidi" w:cstheme="majorBidi"/>
                          <w:sz w:val="24"/>
                          <w:szCs w:val="24"/>
                        </w:rPr>
                        <w:t>Note  that</w:t>
                      </w:r>
                      <w:proofErr w:type="gramEnd"/>
                      <w:r w:rsidRPr="00E02551">
                        <w:rPr>
                          <w:rFonts w:asciiTheme="majorBidi" w:hAnsiTheme="majorBidi" w:cstheme="majorBidi"/>
                          <w:sz w:val="24"/>
                          <w:szCs w:val="24"/>
                        </w:rPr>
                        <w:t xml:space="preserve">  the  red  color  on  teeth  is  the  topical  anesthesia  gel. </w:t>
                      </w:r>
                    </w:p>
                    <w:p w:rsidR="00A43A78" w:rsidRPr="003659D5" w:rsidRDefault="00A43A78" w:rsidP="006508B4">
                      <w:pPr>
                        <w:spacing w:line="360" w:lineRule="auto"/>
                        <w:jc w:val="both"/>
                        <w:rPr>
                          <w:rFonts w:asciiTheme="majorBidi" w:hAnsiTheme="majorBidi" w:cstheme="majorBidi"/>
                          <w:sz w:val="24"/>
                          <w:szCs w:val="24"/>
                        </w:rPr>
                      </w:pPr>
                    </w:p>
                    <w:p w:rsidR="00A43A78" w:rsidRDefault="00A43A78" w:rsidP="00A43A78"/>
                  </w:txbxContent>
                </v:textbox>
              </v:shape>
            </w:pict>
          </mc:Fallback>
        </mc:AlternateContent>
      </w:r>
    </w:p>
    <w:p w:rsidR="007A0677" w:rsidRDefault="007A0677" w:rsidP="001D5206">
      <w:pPr>
        <w:spacing w:line="240" w:lineRule="auto"/>
        <w:jc w:val="both"/>
        <w:rPr>
          <w:rFonts w:asciiTheme="majorBidi" w:hAnsiTheme="majorBidi" w:cstheme="majorBidi"/>
          <w:i/>
          <w:iCs/>
          <w:color w:val="808080" w:themeColor="background1" w:themeShade="80"/>
          <w:sz w:val="24"/>
          <w:szCs w:val="24"/>
        </w:rPr>
      </w:pPr>
    </w:p>
    <w:p w:rsidR="005F15D3" w:rsidRDefault="005F15D3" w:rsidP="001D5206">
      <w:pPr>
        <w:spacing w:line="240" w:lineRule="auto"/>
        <w:jc w:val="both"/>
        <w:rPr>
          <w:rFonts w:asciiTheme="majorBidi" w:hAnsiTheme="majorBidi" w:cstheme="majorBidi"/>
          <w:i/>
          <w:iCs/>
          <w:color w:val="808080" w:themeColor="background1" w:themeShade="80"/>
          <w:sz w:val="24"/>
          <w:szCs w:val="24"/>
        </w:rPr>
      </w:pPr>
    </w:p>
    <w:p w:rsidR="005F15D3" w:rsidRDefault="005F15D3" w:rsidP="001D5206">
      <w:pPr>
        <w:spacing w:line="240" w:lineRule="auto"/>
        <w:jc w:val="both"/>
        <w:rPr>
          <w:rFonts w:asciiTheme="majorBidi" w:hAnsiTheme="majorBidi" w:cstheme="majorBidi"/>
          <w:sz w:val="24"/>
          <w:szCs w:val="24"/>
        </w:rPr>
      </w:pPr>
    </w:p>
    <w:p w:rsidR="00A43A78" w:rsidRDefault="00A43A78" w:rsidP="001D5206">
      <w:pPr>
        <w:spacing w:line="240" w:lineRule="auto"/>
        <w:jc w:val="both"/>
        <w:rPr>
          <w:rFonts w:asciiTheme="majorBidi" w:hAnsiTheme="majorBidi" w:cstheme="majorBidi"/>
          <w:sz w:val="24"/>
          <w:szCs w:val="24"/>
        </w:rPr>
      </w:pPr>
    </w:p>
    <w:p w:rsidR="00A43A78" w:rsidRPr="00E02551" w:rsidRDefault="00A43A78" w:rsidP="006508B4">
      <w:pPr>
        <w:spacing w:line="240" w:lineRule="auto"/>
        <w:jc w:val="both"/>
        <w:rPr>
          <w:rFonts w:asciiTheme="majorBidi" w:hAnsiTheme="majorBidi" w:cstheme="majorBidi"/>
          <w:sz w:val="24"/>
          <w:szCs w:val="24"/>
        </w:rPr>
      </w:pPr>
    </w:p>
    <w:p w:rsidR="006E49A1" w:rsidRDefault="00EC40A2" w:rsidP="007A0677">
      <w:pPr>
        <w:pStyle w:val="root-block-node"/>
        <w:jc w:val="both"/>
        <w:rPr>
          <w:rFonts w:asciiTheme="majorBidi" w:eastAsiaTheme="minorHAnsi" w:hAnsiTheme="majorBidi" w:cstheme="majorBidi"/>
        </w:rPr>
      </w:pPr>
      <w:r w:rsidRPr="00A43A78">
        <w:rPr>
          <w:rFonts w:asciiTheme="majorBidi" w:hAnsiTheme="majorBidi" w:cstheme="majorBidi"/>
          <w:noProof/>
        </w:rPr>
        <mc:AlternateContent>
          <mc:Choice Requires="wps">
            <w:drawing>
              <wp:anchor distT="45720" distB="45720" distL="114300" distR="114300" simplePos="0" relativeHeight="251667456" behindDoc="0" locked="0" layoutInCell="1" allowOverlap="1" wp14:anchorId="0B3AC8EC" wp14:editId="693AB277">
                <wp:simplePos x="0" y="0"/>
                <wp:positionH relativeFrom="column">
                  <wp:posOffset>2103120</wp:posOffset>
                </wp:positionH>
                <wp:positionV relativeFrom="paragraph">
                  <wp:posOffset>384126</wp:posOffset>
                </wp:positionV>
                <wp:extent cx="2707835" cy="604911"/>
                <wp:effectExtent l="0" t="0" r="0" b="508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7835" cy="604911"/>
                        </a:xfrm>
                        <a:prstGeom prst="rect">
                          <a:avLst/>
                        </a:prstGeom>
                        <a:noFill/>
                        <a:ln w="9525">
                          <a:noFill/>
                          <a:miter lim="800000"/>
                          <a:headEnd/>
                          <a:tailEnd/>
                        </a:ln>
                      </wps:spPr>
                      <wps:txbx>
                        <w:txbxContent>
                          <w:p w:rsidR="00A43A78" w:rsidRPr="003659D5" w:rsidRDefault="006508B4" w:rsidP="006508B4">
                            <w:pPr>
                              <w:spacing w:line="360" w:lineRule="auto"/>
                              <w:jc w:val="both"/>
                              <w:rPr>
                                <w:rFonts w:asciiTheme="majorBidi" w:hAnsiTheme="majorBidi" w:cstheme="majorBidi"/>
                                <w:sz w:val="24"/>
                                <w:szCs w:val="24"/>
                              </w:rPr>
                            </w:pPr>
                            <w:r>
                              <w:rPr>
                                <w:rFonts w:asciiTheme="majorBidi" w:hAnsiTheme="majorBidi" w:cstheme="majorBidi"/>
                                <w:b/>
                                <w:bCs/>
                                <w:i/>
                                <w:iCs/>
                                <w:sz w:val="24"/>
                                <w:szCs w:val="24"/>
                              </w:rPr>
                              <w:t>Figure 3</w:t>
                            </w:r>
                            <w:r w:rsidR="00EC40A2">
                              <w:rPr>
                                <w:rFonts w:asciiTheme="majorBidi" w:hAnsiTheme="majorBidi" w:cstheme="majorBidi"/>
                                <w:b/>
                                <w:bCs/>
                                <w:i/>
                                <w:iCs/>
                                <w:sz w:val="24"/>
                                <w:szCs w:val="24"/>
                              </w:rPr>
                              <w:t xml:space="preserve">: </w:t>
                            </w:r>
                            <w:r w:rsidR="00EC40A2" w:rsidRPr="00E02551">
                              <w:rPr>
                                <w:rFonts w:asciiTheme="majorBidi" w:hAnsiTheme="majorBidi" w:cstheme="majorBidi"/>
                                <w:sz w:val="24"/>
                                <w:szCs w:val="24"/>
                              </w:rPr>
                              <w:t>subgingival  injection  of  0.8%  HA.</w:t>
                            </w:r>
                          </w:p>
                          <w:p w:rsidR="00A43A78" w:rsidRDefault="00A43A78" w:rsidP="00A43A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AC8EC" id="_x0000_s1028" type="#_x0000_t202" style="position:absolute;left:0;text-align:left;margin-left:165.6pt;margin-top:30.25pt;width:213.2pt;height:47.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" filled="f" stroked="f">
                <v:textbox>
                  <w:txbxContent>
                    <w:p w:rsidR="00A43A78" w:rsidRPr="003659D5" w:rsidRDefault="006508B4" w:rsidP="006508B4">
                      <w:pPr>
                        <w:spacing w:line="360" w:lineRule="auto"/>
                        <w:jc w:val="both"/>
                        <w:rPr>
                          <w:rFonts w:asciiTheme="majorBidi" w:hAnsiTheme="majorBidi" w:cstheme="majorBidi"/>
                          <w:sz w:val="24"/>
                          <w:szCs w:val="24"/>
                        </w:rPr>
                      </w:pPr>
                      <w:r>
                        <w:rPr>
                          <w:rFonts w:asciiTheme="majorBidi" w:hAnsiTheme="majorBidi" w:cstheme="majorBidi"/>
                          <w:b/>
                          <w:bCs/>
                          <w:i/>
                          <w:iCs/>
                          <w:sz w:val="24"/>
                          <w:szCs w:val="24"/>
                        </w:rPr>
                        <w:t>Figure 3</w:t>
                      </w:r>
                      <w:r w:rsidR="00EC40A2">
                        <w:rPr>
                          <w:rFonts w:asciiTheme="majorBidi" w:hAnsiTheme="majorBidi" w:cstheme="majorBidi"/>
                          <w:b/>
                          <w:bCs/>
                          <w:i/>
                          <w:iCs/>
                          <w:sz w:val="24"/>
                          <w:szCs w:val="24"/>
                        </w:rPr>
                        <w:t xml:space="preserve">: </w:t>
                      </w:r>
                      <w:proofErr w:type="gramStart"/>
                      <w:r w:rsidR="00EC40A2" w:rsidRPr="00E02551">
                        <w:rPr>
                          <w:rFonts w:asciiTheme="majorBidi" w:hAnsiTheme="majorBidi" w:cstheme="majorBidi"/>
                          <w:sz w:val="24"/>
                          <w:szCs w:val="24"/>
                        </w:rPr>
                        <w:t>subgingival  injection</w:t>
                      </w:r>
                      <w:proofErr w:type="gramEnd"/>
                      <w:r w:rsidR="00EC40A2" w:rsidRPr="00E02551">
                        <w:rPr>
                          <w:rFonts w:asciiTheme="majorBidi" w:hAnsiTheme="majorBidi" w:cstheme="majorBidi"/>
                          <w:sz w:val="24"/>
                          <w:szCs w:val="24"/>
                        </w:rPr>
                        <w:t xml:space="preserve">  of  0.8%  HA.</w:t>
                      </w:r>
                    </w:p>
                    <w:p w:rsidR="00A43A78" w:rsidRDefault="00A43A78" w:rsidP="00A43A78"/>
                  </w:txbxContent>
                </v:textbox>
              </v:shape>
            </w:pict>
          </mc:Fallback>
        </mc:AlternateContent>
      </w:r>
      <w:r w:rsidRPr="00A43A78">
        <w:rPr>
          <w:rFonts w:asciiTheme="majorBidi" w:hAnsiTheme="majorBidi" w:cstheme="majorBidi"/>
          <w:noProof/>
        </w:rPr>
        <w:drawing>
          <wp:anchor distT="0" distB="0" distL="114300" distR="114300" simplePos="0" relativeHeight="251664384" behindDoc="0" locked="0" layoutInCell="1" allowOverlap="1" wp14:anchorId="433FBFCE" wp14:editId="7FAE1454">
            <wp:simplePos x="0" y="0"/>
            <wp:positionH relativeFrom="column">
              <wp:posOffset>-2345</wp:posOffset>
            </wp:positionH>
            <wp:positionV relativeFrom="paragraph">
              <wp:posOffset>289658</wp:posOffset>
            </wp:positionV>
            <wp:extent cx="1960245" cy="1652270"/>
            <wp:effectExtent l="0" t="0" r="1905"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60245" cy="1652270"/>
                    </a:xfrm>
                    <a:prstGeom prst="rect">
                      <a:avLst/>
                    </a:prstGeom>
                  </pic:spPr>
                </pic:pic>
              </a:graphicData>
            </a:graphic>
            <wp14:sizeRelH relativeFrom="margin">
              <wp14:pctWidth>0</wp14:pctWidth>
            </wp14:sizeRelH>
            <wp14:sizeRelV relativeFrom="margin">
              <wp14:pctHeight>0</wp14:pctHeight>
            </wp14:sizeRelV>
          </wp:anchor>
        </w:drawing>
      </w:r>
      <w:r w:rsidR="005F15D3">
        <w:rPr>
          <w:rFonts w:asciiTheme="majorBidi" w:eastAsiaTheme="minorHAnsi" w:hAnsiTheme="majorBidi" w:cstheme="majorBidi"/>
        </w:rPr>
        <w:t> </w:t>
      </w:r>
    </w:p>
    <w:p w:rsidR="006E49A1" w:rsidRDefault="006E49A1" w:rsidP="007A0677">
      <w:pPr>
        <w:pStyle w:val="root-block-node"/>
        <w:jc w:val="both"/>
        <w:rPr>
          <w:rFonts w:asciiTheme="majorBidi" w:eastAsiaTheme="minorHAnsi" w:hAnsiTheme="majorBidi" w:cstheme="majorBidi"/>
        </w:rPr>
      </w:pPr>
    </w:p>
    <w:p w:rsidR="00EC40A2" w:rsidRDefault="00EC40A2" w:rsidP="007A0677">
      <w:pPr>
        <w:pStyle w:val="root-block-node"/>
        <w:jc w:val="both"/>
        <w:rPr>
          <w:rFonts w:asciiTheme="majorBidi" w:eastAsiaTheme="minorHAnsi" w:hAnsiTheme="majorBidi" w:cstheme="majorBidi"/>
        </w:rPr>
      </w:pPr>
    </w:p>
    <w:p w:rsidR="00EC40A2" w:rsidRDefault="00EC40A2" w:rsidP="007A0677">
      <w:pPr>
        <w:pStyle w:val="root-block-node"/>
        <w:jc w:val="both"/>
        <w:rPr>
          <w:rFonts w:asciiTheme="majorBidi" w:eastAsiaTheme="minorHAnsi" w:hAnsiTheme="majorBidi" w:cstheme="majorBidi"/>
        </w:rPr>
      </w:pPr>
    </w:p>
    <w:p w:rsidR="00EC40A2" w:rsidRDefault="00EC40A2" w:rsidP="007A0677">
      <w:pPr>
        <w:pStyle w:val="root-block-node"/>
        <w:jc w:val="both"/>
        <w:rPr>
          <w:rFonts w:asciiTheme="majorBidi" w:eastAsiaTheme="minorHAnsi" w:hAnsiTheme="majorBidi" w:cstheme="majorBidi"/>
        </w:rPr>
      </w:pPr>
    </w:p>
    <w:p w:rsidR="00EC40A2" w:rsidRDefault="00EC40A2" w:rsidP="007A0677">
      <w:pPr>
        <w:pStyle w:val="root-block-node"/>
        <w:jc w:val="both"/>
        <w:rPr>
          <w:rFonts w:asciiTheme="majorBidi" w:eastAsiaTheme="minorHAnsi" w:hAnsiTheme="majorBidi" w:cstheme="majorBidi"/>
        </w:rPr>
      </w:pPr>
    </w:p>
    <w:p w:rsidR="006E49A1" w:rsidRDefault="005F15D3" w:rsidP="006E49A1">
      <w:pPr>
        <w:pStyle w:val="root-block-node"/>
        <w:jc w:val="both"/>
        <w:rPr>
          <w:rFonts w:asciiTheme="majorBidi" w:eastAsiaTheme="minorHAnsi" w:hAnsiTheme="majorBidi" w:cstheme="majorBidi"/>
        </w:rPr>
      </w:pPr>
      <w:r>
        <w:rPr>
          <w:rFonts w:asciiTheme="majorBidi" w:eastAsiaTheme="minorHAnsi" w:hAnsiTheme="majorBidi" w:cstheme="majorBidi"/>
        </w:rPr>
        <w:t> </w:t>
      </w:r>
      <w:r w:rsidR="00A43A78" w:rsidRPr="00E02551">
        <w:rPr>
          <w:rFonts w:asciiTheme="majorBidi" w:eastAsiaTheme="minorHAnsi" w:hAnsiTheme="majorBidi" w:cstheme="majorBidi"/>
        </w:rPr>
        <w:t>Statistical analysis was done using SAS 9.4 Software (SAS Institute Inc., Cary, NC, USA). Means and standard deviations (SD) were calculated for all continuous variables (periodontal parameters: CAL, PD, BOP, GI, PI) at the baseline, fourth week, eighth week, and twelfth week. Repeated linear mixed-effects models (PROC MIXED in SAS) were used to examine the changes in all periodontal parameters over the four-time points within each group and between groups. An unstructured covariance matrix was used, residual plots were visually reviewed to check model fit, and extreme outliers were eliminated using the restricted likelihood distance. A Tukey-Kramer correction was applied to all pairwise comparisons. One-way ANOVA was used to examine group differences in PD reduction and CAL. A p-value of 0.05 was considered statistically significant.</w:t>
      </w:r>
    </w:p>
    <w:p w:rsidR="00EC40A2" w:rsidRPr="00E02551" w:rsidRDefault="00EC40A2" w:rsidP="006E49A1">
      <w:pPr>
        <w:pStyle w:val="root-block-node"/>
        <w:jc w:val="both"/>
        <w:rPr>
          <w:rFonts w:asciiTheme="majorBidi" w:eastAsiaTheme="minorHAnsi" w:hAnsiTheme="majorBidi" w:cstheme="majorBidi"/>
        </w:rPr>
      </w:pPr>
    </w:p>
    <w:p w:rsidR="00A43A78" w:rsidRPr="000272AD" w:rsidRDefault="00A43A78" w:rsidP="001D5206">
      <w:pPr>
        <w:spacing w:line="240" w:lineRule="auto"/>
        <w:jc w:val="both"/>
        <w:rPr>
          <w:rFonts w:asciiTheme="minorBidi" w:hAnsiTheme="minorBidi"/>
          <w:b/>
          <w:bCs/>
          <w:sz w:val="24"/>
          <w:szCs w:val="24"/>
        </w:rPr>
      </w:pPr>
      <w:r w:rsidRPr="000272AD">
        <w:rPr>
          <w:rFonts w:asciiTheme="minorBidi" w:hAnsiTheme="minorBidi"/>
          <w:b/>
          <w:bCs/>
          <w:sz w:val="24"/>
          <w:szCs w:val="24"/>
        </w:rPr>
        <w:lastRenderedPageBreak/>
        <w:t xml:space="preserve">Results </w:t>
      </w:r>
    </w:p>
    <w:p w:rsidR="00A43A78" w:rsidRDefault="00A43A78" w:rsidP="00DF4E2F">
      <w:pPr>
        <w:pStyle w:val="root-block-node"/>
        <w:jc w:val="both"/>
        <w:rPr>
          <w:rFonts w:asciiTheme="majorBidi" w:eastAsiaTheme="minorHAnsi" w:hAnsiTheme="majorBidi" w:cstheme="majorBidi"/>
        </w:rPr>
      </w:pPr>
      <w:r w:rsidRPr="00E02551">
        <w:rPr>
          <w:rFonts w:asciiTheme="majorBidi" w:eastAsiaTheme="minorHAnsi" w:hAnsiTheme="majorBidi" w:cstheme="majorBidi"/>
        </w:rPr>
        <w:t xml:space="preserve">Patient recruitment began in March 2021 and data collection ended in June 2022. A total of 138 patients were checked for eligibility of which 75 had met the inclusion criteria. However, 12 were lost throughout the study. Therefore, complete data analysis was possible for 63 patients who finished the study </w:t>
      </w:r>
      <w:r w:rsidRPr="00E02551">
        <w:rPr>
          <w:rFonts w:asciiTheme="majorBidi" w:eastAsiaTheme="minorHAnsi" w:hAnsiTheme="majorBidi" w:cstheme="majorBidi"/>
          <w:i/>
          <w:iCs/>
          <w:color w:val="808080" w:themeColor="background1" w:themeShade="80"/>
        </w:rPr>
        <w:t>(figure 4)</w:t>
      </w:r>
      <w:r w:rsidRPr="00E02551">
        <w:rPr>
          <w:rFonts w:asciiTheme="majorBidi" w:eastAsiaTheme="minorHAnsi" w:hAnsiTheme="majorBidi" w:cstheme="majorBidi"/>
        </w:rPr>
        <w:t>. Note that no teeth were lost throughout the study period. In addition, no postoperative systemic deficits were reported by any of the patients, and no postoperative problems were observed.</w:t>
      </w:r>
    </w:p>
    <w:p w:rsidR="00447920" w:rsidRDefault="00EC40A2" w:rsidP="007A0677">
      <w:pPr>
        <w:pStyle w:val="root-block-node"/>
        <w:jc w:val="both"/>
        <w:rPr>
          <w:rFonts w:asciiTheme="majorBidi" w:eastAsiaTheme="minorHAnsi" w:hAnsiTheme="majorBidi" w:cstheme="majorBidi"/>
        </w:rPr>
      </w:pPr>
      <w:r>
        <w:rPr>
          <w:rFonts w:asciiTheme="majorBidi" w:eastAsiaTheme="minorHAnsi" w:hAnsiTheme="majorBidi" w:cstheme="majorBidi"/>
          <w:noProof/>
        </w:rPr>
        <w:drawing>
          <wp:anchor distT="0" distB="0" distL="114300" distR="114300" simplePos="0" relativeHeight="251673600" behindDoc="0" locked="0" layoutInCell="1" allowOverlap="1" wp14:anchorId="2D6F9712" wp14:editId="2D03649B">
            <wp:simplePos x="0" y="0"/>
            <wp:positionH relativeFrom="column">
              <wp:posOffset>-675248</wp:posOffset>
            </wp:positionH>
            <wp:positionV relativeFrom="paragraph">
              <wp:posOffset>28917</wp:posOffset>
            </wp:positionV>
            <wp:extent cx="5577840" cy="6005195"/>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 4.PNG"/>
                    <pic:cNvPicPr/>
                  </pic:nvPicPr>
                  <pic:blipFill rotWithShape="1">
                    <a:blip r:embed="rId11">
                      <a:extLst>
                        <a:ext uri="{28A0092B-C50C-407E-A947-70E740481C1C}">
                          <a14:useLocalDpi xmlns:a14="http://schemas.microsoft.com/office/drawing/2010/main" val="0"/>
                        </a:ext>
                      </a:extLst>
                    </a:blip>
                    <a:srcRect l="6025" r="2973"/>
                    <a:stretch/>
                  </pic:blipFill>
                  <pic:spPr bwMode="auto">
                    <a:xfrm>
                      <a:off x="0" y="0"/>
                      <a:ext cx="5584341" cy="601219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47920" w:rsidRDefault="00447920" w:rsidP="007A0677">
      <w:pPr>
        <w:pStyle w:val="root-block-node"/>
        <w:jc w:val="both"/>
        <w:rPr>
          <w:rFonts w:asciiTheme="majorBidi" w:eastAsiaTheme="minorHAnsi" w:hAnsiTheme="majorBidi" w:cstheme="majorBidi"/>
        </w:rPr>
      </w:pPr>
    </w:p>
    <w:p w:rsidR="00447920" w:rsidRDefault="00447920" w:rsidP="007A0677">
      <w:pPr>
        <w:pStyle w:val="root-block-node"/>
        <w:jc w:val="both"/>
        <w:rPr>
          <w:rFonts w:asciiTheme="majorBidi" w:eastAsiaTheme="minorHAnsi" w:hAnsiTheme="majorBidi" w:cstheme="majorBidi"/>
        </w:rPr>
      </w:pPr>
    </w:p>
    <w:p w:rsidR="00447920" w:rsidRDefault="00447920" w:rsidP="007A0677">
      <w:pPr>
        <w:pStyle w:val="root-block-node"/>
        <w:jc w:val="both"/>
        <w:rPr>
          <w:rFonts w:asciiTheme="majorBidi" w:eastAsiaTheme="minorHAnsi" w:hAnsiTheme="majorBidi" w:cstheme="majorBidi"/>
        </w:rPr>
      </w:pPr>
    </w:p>
    <w:p w:rsidR="00447920" w:rsidRDefault="00447920" w:rsidP="007A0677">
      <w:pPr>
        <w:pStyle w:val="root-block-node"/>
        <w:jc w:val="both"/>
        <w:rPr>
          <w:rFonts w:asciiTheme="majorBidi" w:eastAsiaTheme="minorHAnsi" w:hAnsiTheme="majorBidi" w:cstheme="majorBidi"/>
        </w:rPr>
      </w:pPr>
    </w:p>
    <w:p w:rsidR="00447920" w:rsidRDefault="00447920" w:rsidP="007A0677">
      <w:pPr>
        <w:pStyle w:val="root-block-node"/>
        <w:jc w:val="both"/>
        <w:rPr>
          <w:rFonts w:asciiTheme="majorBidi" w:eastAsiaTheme="minorHAnsi" w:hAnsiTheme="majorBidi" w:cstheme="majorBidi"/>
        </w:rPr>
      </w:pPr>
    </w:p>
    <w:p w:rsidR="00447920" w:rsidRDefault="00447920" w:rsidP="007A0677">
      <w:pPr>
        <w:pStyle w:val="root-block-node"/>
        <w:jc w:val="both"/>
        <w:rPr>
          <w:rFonts w:asciiTheme="majorBidi" w:eastAsiaTheme="minorHAnsi" w:hAnsiTheme="majorBidi" w:cstheme="majorBidi"/>
        </w:rPr>
      </w:pPr>
    </w:p>
    <w:p w:rsidR="00447920" w:rsidRDefault="00447920" w:rsidP="007A0677">
      <w:pPr>
        <w:pStyle w:val="root-block-node"/>
        <w:jc w:val="both"/>
        <w:rPr>
          <w:rFonts w:asciiTheme="majorBidi" w:eastAsiaTheme="minorHAnsi" w:hAnsiTheme="majorBidi" w:cstheme="majorBidi"/>
        </w:rPr>
      </w:pPr>
    </w:p>
    <w:p w:rsidR="00447920" w:rsidRDefault="00447920" w:rsidP="001D5206">
      <w:pPr>
        <w:pStyle w:val="root-block-node"/>
        <w:jc w:val="both"/>
        <w:rPr>
          <w:rFonts w:asciiTheme="majorBidi" w:eastAsiaTheme="minorHAnsi" w:hAnsiTheme="majorBidi" w:cstheme="majorBidi"/>
        </w:rPr>
      </w:pPr>
    </w:p>
    <w:p w:rsidR="00447920" w:rsidRDefault="00447920" w:rsidP="001D5206">
      <w:pPr>
        <w:pStyle w:val="root-block-node"/>
        <w:jc w:val="both"/>
        <w:rPr>
          <w:rFonts w:asciiTheme="majorBidi" w:eastAsiaTheme="minorHAnsi" w:hAnsiTheme="majorBidi" w:cstheme="majorBidi"/>
        </w:rPr>
      </w:pPr>
    </w:p>
    <w:p w:rsidR="00BB518E" w:rsidRPr="00E02551" w:rsidRDefault="00BB518E" w:rsidP="00F467F9">
      <w:pPr>
        <w:pStyle w:val="root-block-node"/>
        <w:jc w:val="both"/>
        <w:rPr>
          <w:rFonts w:asciiTheme="majorBidi" w:eastAsiaTheme="minorHAnsi" w:hAnsiTheme="majorBidi" w:cstheme="majorBidi"/>
        </w:rPr>
      </w:pPr>
    </w:p>
    <w:p w:rsidR="00FB0232" w:rsidRDefault="005F15D3" w:rsidP="0025097C">
      <w:pPr>
        <w:pStyle w:val="root-block-node"/>
        <w:jc w:val="both"/>
        <w:rPr>
          <w:rFonts w:asciiTheme="majorBidi" w:eastAsiaTheme="minorHAnsi" w:hAnsiTheme="majorBidi" w:cstheme="majorBidi"/>
        </w:rPr>
      </w:pPr>
      <w:r>
        <w:rPr>
          <w:rFonts w:asciiTheme="majorBidi" w:eastAsiaTheme="minorHAnsi" w:hAnsiTheme="majorBidi" w:cstheme="majorBidi"/>
        </w:rPr>
        <w:t> </w:t>
      </w:r>
    </w:p>
    <w:p w:rsidR="00FB0232" w:rsidRDefault="00FB0232" w:rsidP="0025097C">
      <w:pPr>
        <w:pStyle w:val="root-block-node"/>
        <w:jc w:val="both"/>
        <w:rPr>
          <w:rFonts w:asciiTheme="majorBidi" w:eastAsiaTheme="minorHAnsi" w:hAnsiTheme="majorBidi" w:cstheme="majorBidi"/>
        </w:rPr>
      </w:pPr>
    </w:p>
    <w:p w:rsidR="00FB0232" w:rsidRDefault="00FB0232" w:rsidP="0025097C">
      <w:pPr>
        <w:pStyle w:val="root-block-node"/>
        <w:jc w:val="both"/>
        <w:rPr>
          <w:rFonts w:asciiTheme="majorBidi" w:eastAsiaTheme="minorHAnsi" w:hAnsiTheme="majorBidi" w:cstheme="majorBidi"/>
        </w:rPr>
      </w:pPr>
    </w:p>
    <w:p w:rsidR="00FB0232" w:rsidRDefault="00FB0232" w:rsidP="0025097C">
      <w:pPr>
        <w:pStyle w:val="root-block-node"/>
        <w:jc w:val="both"/>
        <w:rPr>
          <w:rFonts w:asciiTheme="majorBidi" w:eastAsiaTheme="minorHAnsi" w:hAnsiTheme="majorBidi" w:cstheme="majorBidi"/>
        </w:rPr>
      </w:pPr>
    </w:p>
    <w:p w:rsidR="00FB0232" w:rsidRDefault="00FB0232" w:rsidP="0025097C">
      <w:pPr>
        <w:pStyle w:val="root-block-node"/>
        <w:jc w:val="both"/>
        <w:rPr>
          <w:rFonts w:asciiTheme="majorBidi" w:eastAsiaTheme="minorHAnsi" w:hAnsiTheme="majorBidi" w:cstheme="majorBidi"/>
        </w:rPr>
      </w:pPr>
    </w:p>
    <w:p w:rsidR="00FB0232" w:rsidRDefault="00EC40A2" w:rsidP="0025097C">
      <w:pPr>
        <w:pStyle w:val="root-block-node"/>
        <w:jc w:val="both"/>
        <w:rPr>
          <w:rFonts w:asciiTheme="majorBidi" w:eastAsiaTheme="minorHAnsi" w:hAnsiTheme="majorBidi" w:cstheme="majorBidi"/>
        </w:rPr>
      </w:pPr>
      <w:r w:rsidRPr="008640E1">
        <w:rPr>
          <w:rFonts w:asciiTheme="majorBidi" w:hAnsiTheme="majorBidi" w:cstheme="majorBidi"/>
          <w:noProof/>
        </w:rPr>
        <mc:AlternateContent>
          <mc:Choice Requires="wps">
            <w:drawing>
              <wp:anchor distT="45720" distB="45720" distL="114300" distR="114300" simplePos="0" relativeHeight="251675648" behindDoc="0" locked="0" layoutInCell="1" allowOverlap="1" wp14:anchorId="3C3E0D0E" wp14:editId="3387A9E7">
                <wp:simplePos x="0" y="0"/>
                <wp:positionH relativeFrom="column">
                  <wp:posOffset>626012</wp:posOffset>
                </wp:positionH>
                <wp:positionV relativeFrom="paragraph">
                  <wp:posOffset>464869</wp:posOffset>
                </wp:positionV>
                <wp:extent cx="3545059" cy="844061"/>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5059" cy="844061"/>
                        </a:xfrm>
                        <a:prstGeom prst="rect">
                          <a:avLst/>
                        </a:prstGeom>
                        <a:noFill/>
                        <a:ln w="9525">
                          <a:noFill/>
                          <a:miter lim="800000"/>
                          <a:headEnd/>
                          <a:tailEnd/>
                        </a:ln>
                      </wps:spPr>
                      <wps:txbx>
                        <w:txbxContent>
                          <w:p w:rsidR="00EC40A2" w:rsidRPr="00E02551" w:rsidRDefault="00F467F9" w:rsidP="00EC40A2">
                            <w:pPr>
                              <w:spacing w:line="240" w:lineRule="auto"/>
                              <w:jc w:val="both"/>
                              <w:rPr>
                                <w:rFonts w:asciiTheme="majorBidi" w:hAnsiTheme="majorBidi" w:cstheme="majorBidi"/>
                                <w:sz w:val="24"/>
                                <w:szCs w:val="24"/>
                              </w:rPr>
                            </w:pPr>
                            <w:r>
                              <w:rPr>
                                <w:rFonts w:asciiTheme="majorBidi" w:hAnsiTheme="majorBidi" w:cstheme="majorBidi"/>
                                <w:b/>
                                <w:bCs/>
                                <w:i/>
                                <w:iCs/>
                                <w:sz w:val="24"/>
                                <w:szCs w:val="24"/>
                              </w:rPr>
                              <w:t>Figure 4</w:t>
                            </w:r>
                            <w:r w:rsidR="00EC40A2">
                              <w:rPr>
                                <w:rFonts w:asciiTheme="majorBidi" w:hAnsiTheme="majorBidi" w:cstheme="majorBidi"/>
                                <w:b/>
                                <w:bCs/>
                                <w:i/>
                                <w:iCs/>
                                <w:sz w:val="24"/>
                                <w:szCs w:val="24"/>
                              </w:rPr>
                              <w:t xml:space="preserve">: </w:t>
                            </w:r>
                            <w:r w:rsidR="00EC40A2" w:rsidRPr="00E02551">
                              <w:rPr>
                                <w:rFonts w:asciiTheme="majorBidi" w:hAnsiTheme="majorBidi" w:cstheme="majorBidi"/>
                                <w:sz w:val="24"/>
                                <w:szCs w:val="24"/>
                              </w:rPr>
                              <w:t>Diagram depicting the process of selecting and allocating study participants.</w:t>
                            </w:r>
                          </w:p>
                          <w:p w:rsidR="00447920" w:rsidRPr="003659D5" w:rsidRDefault="00447920" w:rsidP="00F467F9">
                            <w:pPr>
                              <w:spacing w:line="360" w:lineRule="auto"/>
                              <w:jc w:val="both"/>
                              <w:rPr>
                                <w:rFonts w:asciiTheme="majorBidi" w:hAnsiTheme="majorBidi" w:cstheme="majorBidi"/>
                                <w:sz w:val="24"/>
                                <w:szCs w:val="24"/>
                              </w:rPr>
                            </w:pPr>
                          </w:p>
                          <w:p w:rsidR="00447920" w:rsidRDefault="00447920" w:rsidP="004479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3E0D0E" id="_x0000_s1029" type="#_x0000_t202" style="position:absolute;left:0;text-align:left;margin-left:49.3pt;margin-top:36.6pt;width:279.15pt;height:66.4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" filled="f" stroked="f">
                <v:textbox>
                  <w:txbxContent>
                    <w:p w:rsidR="00EC40A2" w:rsidRPr="00E02551" w:rsidRDefault="00F467F9" w:rsidP="00EC40A2">
                      <w:pPr>
                        <w:spacing w:line="240" w:lineRule="auto"/>
                        <w:jc w:val="both"/>
                        <w:rPr>
                          <w:rFonts w:asciiTheme="majorBidi" w:hAnsiTheme="majorBidi" w:cstheme="majorBidi"/>
                          <w:sz w:val="24"/>
                          <w:szCs w:val="24"/>
                        </w:rPr>
                      </w:pPr>
                      <w:r>
                        <w:rPr>
                          <w:rFonts w:asciiTheme="majorBidi" w:hAnsiTheme="majorBidi" w:cstheme="majorBidi"/>
                          <w:b/>
                          <w:bCs/>
                          <w:i/>
                          <w:iCs/>
                          <w:sz w:val="24"/>
                          <w:szCs w:val="24"/>
                        </w:rPr>
                        <w:t>Figure 4</w:t>
                      </w:r>
                      <w:r w:rsidR="00EC40A2">
                        <w:rPr>
                          <w:rFonts w:asciiTheme="majorBidi" w:hAnsiTheme="majorBidi" w:cstheme="majorBidi"/>
                          <w:b/>
                          <w:bCs/>
                          <w:i/>
                          <w:iCs/>
                          <w:sz w:val="24"/>
                          <w:szCs w:val="24"/>
                        </w:rPr>
                        <w:t xml:space="preserve">: </w:t>
                      </w:r>
                      <w:r w:rsidR="00EC40A2" w:rsidRPr="00E02551">
                        <w:rPr>
                          <w:rFonts w:asciiTheme="majorBidi" w:hAnsiTheme="majorBidi" w:cstheme="majorBidi"/>
                          <w:sz w:val="24"/>
                          <w:szCs w:val="24"/>
                        </w:rPr>
                        <w:t>Diagram depicting the process</w:t>
                      </w:r>
                      <w:r w:rsidR="00EC40A2" w:rsidRPr="00E02551">
                        <w:rPr>
                          <w:rFonts w:asciiTheme="majorBidi" w:hAnsiTheme="majorBidi" w:cstheme="majorBidi"/>
                          <w:sz w:val="24"/>
                          <w:szCs w:val="24"/>
                        </w:rPr>
                        <w:t xml:space="preserve"> of selecting and allocating study participants.</w:t>
                      </w:r>
                    </w:p>
                    <w:p w:rsidR="00447920" w:rsidRPr="003659D5" w:rsidRDefault="00447920" w:rsidP="00F467F9">
                      <w:pPr>
                        <w:spacing w:line="360" w:lineRule="auto"/>
                        <w:jc w:val="both"/>
                        <w:rPr>
                          <w:rFonts w:asciiTheme="majorBidi" w:hAnsiTheme="majorBidi" w:cstheme="majorBidi"/>
                          <w:sz w:val="24"/>
                          <w:szCs w:val="24"/>
                        </w:rPr>
                      </w:pPr>
                    </w:p>
                    <w:p w:rsidR="00447920" w:rsidRDefault="00447920" w:rsidP="00447920"/>
                  </w:txbxContent>
                </v:textbox>
              </v:shape>
            </w:pict>
          </mc:Fallback>
        </mc:AlternateContent>
      </w:r>
    </w:p>
    <w:p w:rsidR="00A43A78" w:rsidRPr="00E02551" w:rsidRDefault="005F15D3" w:rsidP="00FB0232">
      <w:pPr>
        <w:pStyle w:val="root-block-node"/>
        <w:tabs>
          <w:tab w:val="left" w:pos="2700"/>
        </w:tabs>
        <w:jc w:val="both"/>
        <w:rPr>
          <w:rFonts w:asciiTheme="majorBidi" w:eastAsiaTheme="minorHAnsi" w:hAnsiTheme="majorBidi" w:cstheme="majorBidi"/>
        </w:rPr>
      </w:pPr>
      <w:r>
        <w:rPr>
          <w:rFonts w:asciiTheme="majorBidi" w:eastAsiaTheme="minorHAnsi" w:hAnsiTheme="majorBidi" w:cstheme="majorBidi"/>
        </w:rPr>
        <w:lastRenderedPageBreak/>
        <w:t> </w:t>
      </w:r>
      <w:r w:rsidR="00A43A78" w:rsidRPr="00E02551">
        <w:rPr>
          <w:rFonts w:asciiTheme="majorBidi" w:eastAsiaTheme="minorHAnsi" w:hAnsiTheme="majorBidi" w:cstheme="majorBidi"/>
        </w:rPr>
        <w:t xml:space="preserve">The gingivitis and plaque indices are shown in </w:t>
      </w:r>
      <w:r w:rsidR="00A43A78" w:rsidRPr="00E02551">
        <w:rPr>
          <w:rFonts w:asciiTheme="majorBidi" w:eastAsiaTheme="minorHAnsi" w:hAnsiTheme="majorBidi" w:cstheme="majorBidi"/>
          <w:b/>
          <w:bCs/>
        </w:rPr>
        <w:t>Table 1</w:t>
      </w:r>
      <w:r w:rsidR="00A43A78" w:rsidRPr="00E02551">
        <w:rPr>
          <w:rFonts w:asciiTheme="majorBidi" w:eastAsiaTheme="minorHAnsi" w:hAnsiTheme="majorBidi" w:cstheme="majorBidi"/>
        </w:rPr>
        <w:t>. At the follow-up visits, all treatment groups showed a statistically significant reduction in both indices compared to the baseline (p&lt;0.05). At any of the observation intervals, there was no statistically significant difference in PI and GI.</w:t>
      </w:r>
    </w:p>
    <w:p w:rsidR="00A43A78" w:rsidRDefault="005F15D3" w:rsidP="001D5206">
      <w:pPr>
        <w:spacing w:line="240" w:lineRule="auto"/>
        <w:jc w:val="both"/>
        <w:rPr>
          <w:rFonts w:asciiTheme="majorBidi" w:hAnsiTheme="majorBidi" w:cstheme="majorBidi"/>
          <w:b/>
          <w:bCs/>
          <w:sz w:val="24"/>
          <w:szCs w:val="24"/>
        </w:rPr>
      </w:pPr>
      <w:r>
        <w:rPr>
          <w:rFonts w:asciiTheme="majorBidi" w:hAnsiTheme="majorBidi" w:cstheme="majorBidi"/>
          <w:sz w:val="24"/>
          <w:szCs w:val="24"/>
        </w:rPr>
        <w:t> </w:t>
      </w:r>
      <w:r>
        <w:rPr>
          <w:rFonts w:asciiTheme="majorBidi" w:hAnsiTheme="majorBidi" w:cstheme="majorBidi"/>
          <w:sz w:val="24"/>
          <w:szCs w:val="24"/>
        </w:rPr>
        <w:t> </w:t>
      </w:r>
      <w:r w:rsidR="00A43A78" w:rsidRPr="00E02551">
        <w:rPr>
          <w:rFonts w:asciiTheme="majorBidi" w:hAnsiTheme="majorBidi" w:cstheme="majorBidi"/>
          <w:sz w:val="24"/>
          <w:szCs w:val="24"/>
        </w:rPr>
        <w:t xml:space="preserve">Moreover, both groups G1 and G2 demonstrated a statistically significant reduction in the mean PD values postoperatively when compared to the baseline (p&lt;0.05), which was largely based on improvements within the first four weeks of treatment. However, a slight reduction in the PD was noticed in G3 where </w:t>
      </w:r>
      <w:r w:rsidR="006E1FE7">
        <w:rPr>
          <w:rFonts w:asciiTheme="majorBidi" w:hAnsiTheme="majorBidi" w:cstheme="majorBidi"/>
          <w:sz w:val="24"/>
          <w:szCs w:val="24"/>
        </w:rPr>
        <w:t>PMPR</w:t>
      </w:r>
      <w:r w:rsidR="00A43A78" w:rsidRPr="00E02551">
        <w:rPr>
          <w:rFonts w:asciiTheme="majorBidi" w:hAnsiTheme="majorBidi" w:cstheme="majorBidi"/>
          <w:sz w:val="24"/>
          <w:szCs w:val="24"/>
        </w:rPr>
        <w:t xml:space="preserve"> was done without any adjunctive treatment </w:t>
      </w:r>
      <w:r w:rsidR="00A43A78" w:rsidRPr="00E02551">
        <w:rPr>
          <w:rFonts w:asciiTheme="majorBidi" w:hAnsiTheme="majorBidi" w:cstheme="majorBidi"/>
          <w:b/>
          <w:bCs/>
          <w:sz w:val="24"/>
          <w:szCs w:val="24"/>
        </w:rPr>
        <w:t>(Table 1)</w:t>
      </w:r>
      <w:r w:rsidR="00A43A78" w:rsidRPr="00E02551">
        <w:rPr>
          <w:rFonts w:asciiTheme="majorBidi" w:hAnsiTheme="majorBidi" w:cstheme="majorBidi"/>
          <w:sz w:val="24"/>
          <w:szCs w:val="24"/>
        </w:rPr>
        <w:t xml:space="preserve">. Moreover, after three months, patients treated with HA as an addition to </w:t>
      </w:r>
      <w:r w:rsidR="006E1FE7">
        <w:rPr>
          <w:rFonts w:asciiTheme="majorBidi" w:hAnsiTheme="majorBidi" w:cstheme="majorBidi"/>
          <w:sz w:val="24"/>
          <w:szCs w:val="24"/>
        </w:rPr>
        <w:t>PMPR</w:t>
      </w:r>
      <w:r w:rsidR="00A43A78" w:rsidRPr="00E02551">
        <w:rPr>
          <w:rFonts w:asciiTheme="majorBidi" w:hAnsiTheme="majorBidi" w:cstheme="majorBidi"/>
          <w:sz w:val="24"/>
          <w:szCs w:val="24"/>
        </w:rPr>
        <w:t xml:space="preserve"> had a significantly higher PD reduction than patients treated with </w:t>
      </w:r>
      <w:r w:rsidR="006E1FE7">
        <w:rPr>
          <w:rFonts w:asciiTheme="majorBidi" w:hAnsiTheme="majorBidi" w:cstheme="majorBidi"/>
          <w:sz w:val="24"/>
          <w:szCs w:val="24"/>
        </w:rPr>
        <w:t>PMPR</w:t>
      </w:r>
      <w:r w:rsidR="00A43A78" w:rsidRPr="00E02551">
        <w:rPr>
          <w:rFonts w:asciiTheme="majorBidi" w:hAnsiTheme="majorBidi" w:cstheme="majorBidi"/>
          <w:sz w:val="24"/>
          <w:szCs w:val="24"/>
        </w:rPr>
        <w:t xml:space="preserve"> alone (p&lt;0.05)</w:t>
      </w:r>
      <w:r w:rsidR="00A43A78" w:rsidRPr="00E02551">
        <w:rPr>
          <w:rFonts w:asciiTheme="majorBidi" w:hAnsiTheme="majorBidi" w:cstheme="majorBidi"/>
          <w:b/>
          <w:bCs/>
          <w:sz w:val="24"/>
          <w:szCs w:val="24"/>
        </w:rPr>
        <w:t xml:space="preserve">. </w:t>
      </w:r>
      <w:r w:rsidR="00A43A78" w:rsidRPr="00E02551">
        <w:rPr>
          <w:rFonts w:asciiTheme="majorBidi" w:hAnsiTheme="majorBidi" w:cstheme="majorBidi"/>
          <w:sz w:val="24"/>
          <w:szCs w:val="24"/>
        </w:rPr>
        <w:t xml:space="preserve">Similarly, patients treated with red i-PRF as an adjunct to </w:t>
      </w:r>
      <w:r w:rsidR="006E1FE7">
        <w:rPr>
          <w:rFonts w:asciiTheme="majorBidi" w:hAnsiTheme="majorBidi" w:cstheme="majorBidi"/>
          <w:sz w:val="24"/>
          <w:szCs w:val="24"/>
        </w:rPr>
        <w:t>PMPR</w:t>
      </w:r>
      <w:r w:rsidR="00A43A78" w:rsidRPr="00E02551">
        <w:rPr>
          <w:rFonts w:asciiTheme="majorBidi" w:hAnsiTheme="majorBidi" w:cstheme="majorBidi"/>
          <w:sz w:val="24"/>
          <w:szCs w:val="24"/>
        </w:rPr>
        <w:t xml:space="preserve"> had a significantly higher PD reduction than those treated with </w:t>
      </w:r>
      <w:r w:rsidR="006E1FE7">
        <w:rPr>
          <w:rFonts w:asciiTheme="majorBidi" w:hAnsiTheme="majorBidi" w:cstheme="majorBidi"/>
          <w:sz w:val="24"/>
          <w:szCs w:val="24"/>
        </w:rPr>
        <w:t>PMPR</w:t>
      </w:r>
      <w:r w:rsidR="00A43A78" w:rsidRPr="00E02551">
        <w:rPr>
          <w:rFonts w:asciiTheme="majorBidi" w:hAnsiTheme="majorBidi" w:cstheme="majorBidi"/>
          <w:sz w:val="24"/>
          <w:szCs w:val="24"/>
        </w:rPr>
        <w:t xml:space="preserve"> only (p&lt;0.05).</w:t>
      </w:r>
      <w:r w:rsidR="00A43A78" w:rsidRPr="00E02551">
        <w:rPr>
          <w:rFonts w:asciiTheme="majorBidi" w:hAnsiTheme="majorBidi" w:cstheme="majorBidi"/>
          <w:b/>
          <w:bCs/>
          <w:sz w:val="24"/>
          <w:szCs w:val="24"/>
        </w:rPr>
        <w:t xml:space="preserve"> </w:t>
      </w:r>
      <w:r w:rsidR="00A43A78" w:rsidRPr="00E02551">
        <w:rPr>
          <w:rFonts w:asciiTheme="majorBidi" w:hAnsiTheme="majorBidi" w:cstheme="majorBidi"/>
          <w:sz w:val="24"/>
          <w:szCs w:val="24"/>
        </w:rPr>
        <w:t xml:space="preserve">However, there was no statistically significant difference between both groups, G1 (HA + </w:t>
      </w:r>
      <w:r w:rsidR="006E1FE7">
        <w:rPr>
          <w:rFonts w:asciiTheme="majorBidi" w:hAnsiTheme="majorBidi" w:cstheme="majorBidi"/>
          <w:sz w:val="24"/>
          <w:szCs w:val="24"/>
        </w:rPr>
        <w:t>PMPR</w:t>
      </w:r>
      <w:r w:rsidR="00A43A78" w:rsidRPr="00E02551">
        <w:rPr>
          <w:rFonts w:asciiTheme="majorBidi" w:hAnsiTheme="majorBidi" w:cstheme="majorBidi"/>
          <w:sz w:val="24"/>
          <w:szCs w:val="24"/>
        </w:rPr>
        <w:t xml:space="preserve">) and G2 (i-PRF + </w:t>
      </w:r>
      <w:r w:rsidR="006E1FE7">
        <w:rPr>
          <w:rFonts w:asciiTheme="majorBidi" w:hAnsiTheme="majorBidi" w:cstheme="majorBidi"/>
          <w:sz w:val="24"/>
          <w:szCs w:val="24"/>
        </w:rPr>
        <w:t>PMPR</w:t>
      </w:r>
      <w:r w:rsidR="00A43A78" w:rsidRPr="00E02551">
        <w:rPr>
          <w:rFonts w:asciiTheme="majorBidi" w:hAnsiTheme="majorBidi" w:cstheme="majorBidi"/>
          <w:sz w:val="24"/>
          <w:szCs w:val="24"/>
        </w:rPr>
        <w:t>).</w:t>
      </w:r>
      <w:r w:rsidR="00A43A78" w:rsidRPr="00E02551">
        <w:rPr>
          <w:rFonts w:asciiTheme="majorBidi" w:hAnsiTheme="majorBidi" w:cstheme="majorBidi"/>
          <w:b/>
          <w:bCs/>
          <w:sz w:val="24"/>
          <w:szCs w:val="24"/>
        </w:rPr>
        <w:t xml:space="preserve"> (Table 2)</w:t>
      </w:r>
    </w:p>
    <w:p w:rsidR="006508B4" w:rsidRPr="00E02551" w:rsidRDefault="006508B4" w:rsidP="001D5206">
      <w:pPr>
        <w:spacing w:line="240" w:lineRule="auto"/>
        <w:jc w:val="both"/>
        <w:rPr>
          <w:rFonts w:asciiTheme="majorBidi" w:hAnsiTheme="majorBidi" w:cstheme="majorBidi"/>
          <w:sz w:val="24"/>
          <w:szCs w:val="24"/>
        </w:rPr>
      </w:pPr>
    </w:p>
    <w:p w:rsidR="00A43A78" w:rsidRPr="00E02551" w:rsidRDefault="005F15D3" w:rsidP="001D5206">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Furthermore, throughout the trial period, significant gains in clinical attachment (CAL gain) were observed in both groups G1 and G2 where adjunctive treatment is applied to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while in G3, where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is done solely, no significant gain was noticed (p&lt;0.05) (</w:t>
      </w:r>
      <w:r w:rsidR="00A43A78" w:rsidRPr="00E02551">
        <w:rPr>
          <w:rFonts w:asciiTheme="majorBidi" w:eastAsiaTheme="minorHAnsi" w:hAnsiTheme="majorBidi" w:cstheme="majorBidi"/>
          <w:b/>
          <w:bCs/>
        </w:rPr>
        <w:t>Table 1</w:t>
      </w:r>
      <w:r w:rsidR="00A43A78" w:rsidRPr="00E02551">
        <w:rPr>
          <w:rFonts w:asciiTheme="majorBidi" w:eastAsiaTheme="minorHAnsi" w:hAnsiTheme="majorBidi" w:cstheme="majorBidi"/>
        </w:rPr>
        <w:t>). However, no statistically significant difference between G1 and G2 was observed.</w:t>
      </w:r>
      <w:r w:rsidR="00A43A78" w:rsidRPr="00E02551">
        <w:rPr>
          <w:rFonts w:asciiTheme="majorBidi" w:hAnsiTheme="majorBidi" w:cstheme="majorBidi"/>
          <w:b/>
          <w:bCs/>
        </w:rPr>
        <w:t xml:space="preserve"> (Table 2)</w:t>
      </w:r>
    </w:p>
    <w:p w:rsidR="00A43A78" w:rsidRDefault="005F15D3" w:rsidP="001D5206">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Nonetheless, in all three treatment groups, the proportion of sites with BOP significantly decreased after three months (p&lt;0.05) </w:t>
      </w:r>
      <w:r w:rsidR="00A43A78" w:rsidRPr="00E02551">
        <w:rPr>
          <w:rFonts w:asciiTheme="majorBidi" w:eastAsiaTheme="minorHAnsi" w:hAnsiTheme="majorBidi" w:cstheme="majorBidi"/>
          <w:b/>
          <w:bCs/>
        </w:rPr>
        <w:t>(Table 1)</w:t>
      </w:r>
      <w:r w:rsidR="00A43A78" w:rsidRPr="00E02551">
        <w:rPr>
          <w:rFonts w:asciiTheme="majorBidi" w:eastAsiaTheme="minorHAnsi" w:hAnsiTheme="majorBidi" w:cstheme="majorBidi"/>
        </w:rPr>
        <w:t>.</w:t>
      </w:r>
    </w:p>
    <w:p w:rsidR="00F30F7F" w:rsidRDefault="00F30F7F" w:rsidP="00A103AF">
      <w:pPr>
        <w:pStyle w:val="root-block-node"/>
        <w:jc w:val="both"/>
        <w:rPr>
          <w:rFonts w:asciiTheme="majorBidi" w:eastAsiaTheme="minorHAnsi" w:hAnsiTheme="majorBidi" w:cstheme="majorBidi"/>
        </w:rPr>
      </w:pPr>
    </w:p>
    <w:p w:rsidR="00F467F9" w:rsidRDefault="00F467F9" w:rsidP="00A103AF">
      <w:pPr>
        <w:pStyle w:val="root-block-node"/>
        <w:jc w:val="both"/>
        <w:rPr>
          <w:rFonts w:asciiTheme="majorBidi" w:eastAsiaTheme="minorHAnsi" w:hAnsiTheme="majorBidi" w:cstheme="majorBidi"/>
        </w:rPr>
      </w:pPr>
    </w:p>
    <w:p w:rsidR="00F467F9" w:rsidRDefault="00F467F9" w:rsidP="00A103AF">
      <w:pPr>
        <w:pStyle w:val="root-block-node"/>
        <w:jc w:val="both"/>
        <w:rPr>
          <w:rFonts w:asciiTheme="majorBidi" w:eastAsiaTheme="minorHAnsi" w:hAnsiTheme="majorBidi" w:cstheme="majorBidi"/>
        </w:rPr>
      </w:pPr>
    </w:p>
    <w:p w:rsidR="00F467F9" w:rsidRDefault="00F467F9" w:rsidP="00A103AF">
      <w:pPr>
        <w:pStyle w:val="root-block-node"/>
        <w:jc w:val="both"/>
        <w:rPr>
          <w:rFonts w:asciiTheme="majorBidi" w:eastAsiaTheme="minorHAnsi" w:hAnsiTheme="majorBidi" w:cstheme="majorBidi"/>
        </w:rPr>
      </w:pPr>
    </w:p>
    <w:p w:rsidR="00F467F9" w:rsidRDefault="00F467F9" w:rsidP="00A103AF">
      <w:pPr>
        <w:pStyle w:val="root-block-node"/>
        <w:jc w:val="both"/>
        <w:rPr>
          <w:rFonts w:asciiTheme="majorBidi" w:eastAsiaTheme="minorHAnsi" w:hAnsiTheme="majorBidi" w:cstheme="majorBidi"/>
        </w:rPr>
      </w:pPr>
    </w:p>
    <w:p w:rsidR="00F467F9" w:rsidRDefault="00F467F9" w:rsidP="00A103AF">
      <w:pPr>
        <w:pStyle w:val="root-block-node"/>
        <w:jc w:val="both"/>
        <w:rPr>
          <w:rFonts w:asciiTheme="majorBidi" w:eastAsiaTheme="minorHAnsi" w:hAnsiTheme="majorBidi" w:cstheme="majorBidi"/>
        </w:rPr>
      </w:pPr>
    </w:p>
    <w:p w:rsidR="00F467F9" w:rsidRDefault="00F467F9" w:rsidP="00A103AF">
      <w:pPr>
        <w:pStyle w:val="root-block-node"/>
        <w:jc w:val="both"/>
        <w:rPr>
          <w:rFonts w:asciiTheme="majorBidi" w:eastAsiaTheme="minorHAnsi" w:hAnsiTheme="majorBidi" w:cstheme="majorBidi"/>
        </w:rPr>
      </w:pPr>
    </w:p>
    <w:p w:rsidR="00F467F9" w:rsidRDefault="00F467F9" w:rsidP="00A103AF">
      <w:pPr>
        <w:pStyle w:val="root-block-node"/>
        <w:jc w:val="both"/>
        <w:rPr>
          <w:rFonts w:asciiTheme="majorBidi" w:eastAsiaTheme="minorHAnsi" w:hAnsiTheme="majorBidi" w:cstheme="majorBidi"/>
        </w:rPr>
      </w:pPr>
    </w:p>
    <w:p w:rsidR="00F467F9" w:rsidRDefault="00F467F9" w:rsidP="00A103AF">
      <w:pPr>
        <w:pStyle w:val="root-block-node"/>
        <w:jc w:val="both"/>
        <w:rPr>
          <w:rFonts w:asciiTheme="majorBidi" w:eastAsiaTheme="minorHAnsi" w:hAnsiTheme="majorBidi" w:cstheme="majorBidi"/>
        </w:rPr>
      </w:pPr>
    </w:p>
    <w:tbl>
      <w:tblPr>
        <w:tblStyle w:val="GridTable2-Accent1"/>
        <w:tblpPr w:leftFromText="180" w:rightFromText="180" w:vertAnchor="page" w:horzAnchor="margin" w:tblpY="1435"/>
        <w:tblW w:w="7740" w:type="dxa"/>
        <w:tblBorders>
          <w:top w:val="none" w:sz="0" w:space="0" w:color="auto"/>
          <w:bottom w:val="none" w:sz="0" w:space="0" w:color="auto"/>
          <w:insideH w:val="none" w:sz="0" w:space="0" w:color="auto"/>
          <w:insideV w:val="none" w:sz="0" w:space="0" w:color="auto"/>
        </w:tblBorders>
        <w:tblLayout w:type="fixed"/>
        <w:tblLook w:val="04A0" w:firstRow="1" w:lastRow="0" w:firstColumn="1" w:lastColumn="0" w:noHBand="0" w:noVBand="1"/>
      </w:tblPr>
      <w:tblGrid>
        <w:gridCol w:w="1710"/>
        <w:gridCol w:w="1260"/>
        <w:gridCol w:w="1530"/>
        <w:gridCol w:w="1800"/>
        <w:gridCol w:w="1440"/>
      </w:tblGrid>
      <w:tr w:rsidR="00F467F9" w:rsidRPr="00E02551" w:rsidTr="00F467F9">
        <w:trPr>
          <w:cnfStyle w:val="100000000000" w:firstRow="1" w:lastRow="0" w:firstColumn="0" w:lastColumn="0" w:oddVBand="0" w:evenVBand="0" w:oddHBand="0" w:evenHBand="0" w:firstRowFirstColumn="0" w:firstRowLastColumn="0" w:lastRowFirstColumn="0" w:lastRowLastColumn="0"/>
          <w:trHeight w:val="820"/>
        </w:trPr>
        <w:tc>
          <w:tcPr>
            <w:cnfStyle w:val="001000000000" w:firstRow="0" w:lastRow="0" w:firstColumn="1" w:lastColumn="0" w:oddVBand="0" w:evenVBand="0" w:oddHBand="0" w:evenHBand="0" w:firstRowFirstColumn="0" w:firstRowLastColumn="0" w:lastRowFirstColumn="0" w:lastRowLastColumn="0"/>
            <w:tcW w:w="1710" w:type="dxa"/>
          </w:tcPr>
          <w:p w:rsidR="00F467F9" w:rsidRPr="00E02551" w:rsidRDefault="00F467F9" w:rsidP="00F467F9">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lastRenderedPageBreak/>
              <w:t>Variable</w:t>
            </w:r>
          </w:p>
        </w:tc>
        <w:tc>
          <w:tcPr>
            <w:tcW w:w="1260" w:type="dxa"/>
          </w:tcPr>
          <w:p w:rsidR="00F467F9" w:rsidRPr="00E02551" w:rsidRDefault="00F467F9" w:rsidP="00F467F9">
            <w:pPr>
              <w:spacing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Time point</w:t>
            </w:r>
          </w:p>
        </w:tc>
        <w:tc>
          <w:tcPr>
            <w:tcW w:w="1530" w:type="dxa"/>
          </w:tcPr>
          <w:p w:rsidR="00F467F9" w:rsidRPr="00E02551" w:rsidRDefault="00F467F9" w:rsidP="00F467F9">
            <w:pPr>
              <w:spacing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G1</w:t>
            </w:r>
          </w:p>
          <w:p w:rsidR="00F467F9" w:rsidRPr="00E02551" w:rsidRDefault="00F467F9" w:rsidP="00F467F9">
            <w:pPr>
              <w:spacing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w:t>
            </w:r>
            <w:r w:rsidR="006E1FE7">
              <w:rPr>
                <w:rFonts w:asciiTheme="majorBidi" w:hAnsiTheme="majorBidi" w:cstheme="majorBidi"/>
                <w:sz w:val="24"/>
                <w:szCs w:val="24"/>
              </w:rPr>
              <w:t>PMPR</w:t>
            </w:r>
            <w:r w:rsidRPr="00E02551">
              <w:rPr>
                <w:rFonts w:asciiTheme="majorBidi" w:hAnsiTheme="majorBidi" w:cstheme="majorBidi"/>
                <w:sz w:val="24"/>
                <w:szCs w:val="24"/>
              </w:rPr>
              <w:t xml:space="preserve"> + HA)</w:t>
            </w:r>
          </w:p>
        </w:tc>
        <w:tc>
          <w:tcPr>
            <w:tcW w:w="1800" w:type="dxa"/>
          </w:tcPr>
          <w:p w:rsidR="00F467F9" w:rsidRPr="00E02551" w:rsidRDefault="00F467F9" w:rsidP="00F467F9">
            <w:pPr>
              <w:spacing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G2</w:t>
            </w:r>
          </w:p>
          <w:p w:rsidR="00F467F9" w:rsidRPr="00E02551" w:rsidRDefault="00F467F9" w:rsidP="00F467F9">
            <w:pPr>
              <w:spacing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w:t>
            </w:r>
            <w:r w:rsidR="006E1FE7">
              <w:rPr>
                <w:rFonts w:asciiTheme="majorBidi" w:hAnsiTheme="majorBidi" w:cstheme="majorBidi"/>
                <w:sz w:val="24"/>
                <w:szCs w:val="24"/>
              </w:rPr>
              <w:t>PMPR</w:t>
            </w:r>
            <w:r w:rsidRPr="00E02551">
              <w:rPr>
                <w:rFonts w:asciiTheme="majorBidi" w:hAnsiTheme="majorBidi" w:cstheme="majorBidi"/>
                <w:sz w:val="24"/>
                <w:szCs w:val="24"/>
              </w:rPr>
              <w:t xml:space="preserve"> + I-PRF)</w:t>
            </w:r>
          </w:p>
        </w:tc>
        <w:tc>
          <w:tcPr>
            <w:tcW w:w="1440" w:type="dxa"/>
          </w:tcPr>
          <w:p w:rsidR="00F467F9" w:rsidRPr="00E02551" w:rsidRDefault="00F467F9" w:rsidP="00F467F9">
            <w:pPr>
              <w:spacing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G3</w:t>
            </w:r>
          </w:p>
          <w:p w:rsidR="00F467F9" w:rsidRPr="00E02551" w:rsidRDefault="00F467F9" w:rsidP="00F467F9">
            <w:pPr>
              <w:spacing w:line="24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w:t>
            </w:r>
            <w:r w:rsidR="006E1FE7">
              <w:rPr>
                <w:rFonts w:asciiTheme="majorBidi" w:hAnsiTheme="majorBidi" w:cstheme="majorBidi"/>
                <w:sz w:val="24"/>
                <w:szCs w:val="24"/>
              </w:rPr>
              <w:t>PMPR</w:t>
            </w:r>
            <w:r w:rsidRPr="00E02551">
              <w:rPr>
                <w:rFonts w:asciiTheme="majorBidi" w:hAnsiTheme="majorBidi" w:cstheme="majorBidi"/>
                <w:sz w:val="24"/>
                <w:szCs w:val="24"/>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1710" w:type="dxa"/>
          </w:tcPr>
          <w:p w:rsidR="00F467F9" w:rsidRPr="00E02551" w:rsidRDefault="00F467F9" w:rsidP="00F467F9">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Age (years)</w:t>
            </w:r>
          </w:p>
        </w:tc>
        <w:tc>
          <w:tcPr>
            <w:tcW w:w="126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Baseline</w:t>
            </w:r>
          </w:p>
        </w:tc>
        <w:tc>
          <w:tcPr>
            <w:tcW w:w="153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57.8 ±  11.1</w:t>
            </w:r>
          </w:p>
        </w:tc>
        <w:tc>
          <w:tcPr>
            <w:tcW w:w="180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51.8 ±  10.8</w:t>
            </w:r>
          </w:p>
        </w:tc>
        <w:tc>
          <w:tcPr>
            <w:tcW w:w="144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49.9 ±  11.9</w:t>
            </w:r>
          </w:p>
        </w:tc>
      </w:tr>
      <w:tr w:rsidR="00F467F9" w:rsidRPr="00E02551" w:rsidTr="00F467F9">
        <w:trPr>
          <w:trHeight w:val="820"/>
        </w:trPr>
        <w:tc>
          <w:tcPr>
            <w:cnfStyle w:val="001000000000" w:firstRow="0" w:lastRow="0" w:firstColumn="1" w:lastColumn="0" w:oddVBand="0" w:evenVBand="0" w:oddHBand="0" w:evenHBand="0" w:firstRowFirstColumn="0" w:firstRowLastColumn="0" w:lastRowFirstColumn="0" w:lastRowLastColumn="0"/>
            <w:tcW w:w="1710" w:type="dxa"/>
          </w:tcPr>
          <w:p w:rsidR="00F467F9" w:rsidRPr="00E02551" w:rsidRDefault="00F467F9" w:rsidP="00F467F9">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Gender</w:t>
            </w:r>
          </w:p>
          <w:p w:rsidR="00F467F9" w:rsidRPr="00E02551" w:rsidRDefault="00F467F9" w:rsidP="00F467F9">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(female/ male)</w:t>
            </w:r>
          </w:p>
        </w:tc>
        <w:tc>
          <w:tcPr>
            <w:tcW w:w="1260" w:type="dxa"/>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Baseline</w:t>
            </w:r>
          </w:p>
        </w:tc>
        <w:tc>
          <w:tcPr>
            <w:tcW w:w="1530" w:type="dxa"/>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12 / 9</w:t>
            </w:r>
          </w:p>
        </w:tc>
        <w:tc>
          <w:tcPr>
            <w:tcW w:w="1800" w:type="dxa"/>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9 / 11</w:t>
            </w:r>
          </w:p>
        </w:tc>
        <w:tc>
          <w:tcPr>
            <w:tcW w:w="1440" w:type="dxa"/>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12 / 10</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10" w:type="dxa"/>
            <w:vMerge w:val="restart"/>
          </w:tcPr>
          <w:p w:rsidR="00F467F9" w:rsidRPr="00E02551" w:rsidRDefault="00F467F9" w:rsidP="00F467F9">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PI</w:t>
            </w:r>
          </w:p>
        </w:tc>
        <w:tc>
          <w:tcPr>
            <w:tcW w:w="126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Baseline</w:t>
            </w:r>
          </w:p>
        </w:tc>
        <w:tc>
          <w:tcPr>
            <w:tcW w:w="153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1.2 ±  0.6</w:t>
            </w:r>
          </w:p>
        </w:tc>
        <w:tc>
          <w:tcPr>
            <w:tcW w:w="180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1.0 ±  0.6</w:t>
            </w:r>
          </w:p>
        </w:tc>
        <w:tc>
          <w:tcPr>
            <w:tcW w:w="144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0.9 ±  0.7</w:t>
            </w:r>
          </w:p>
        </w:tc>
      </w:tr>
      <w:tr w:rsidR="00F467F9" w:rsidRPr="00E02551" w:rsidTr="00F467F9">
        <w:trPr>
          <w:trHeight w:val="55"/>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DEEAF6" w:themeFill="accent1" w:themeFillTint="33"/>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vertAlign w:val="superscript"/>
              </w:rPr>
            </w:pPr>
            <w:r w:rsidRPr="00E02551">
              <w:rPr>
                <w:rFonts w:asciiTheme="majorBidi" w:hAnsiTheme="majorBidi" w:cstheme="majorBidi"/>
                <w:sz w:val="24"/>
                <w:szCs w:val="24"/>
              </w:rPr>
              <w:t>0.8 ±  0.7</w:t>
            </w:r>
            <w:r w:rsidRPr="00E02551">
              <w:rPr>
                <w:rFonts w:asciiTheme="majorBidi" w:hAnsiTheme="majorBidi" w:cstheme="majorBidi"/>
                <w:sz w:val="24"/>
                <w:szCs w:val="24"/>
                <w:vertAlign w:val="superscript"/>
              </w:rPr>
              <w:t>*</w:t>
            </w:r>
          </w:p>
        </w:tc>
        <w:tc>
          <w:tcPr>
            <w:tcW w:w="180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0.79 ±  0.6</w:t>
            </w:r>
            <w:r w:rsidRPr="00E02551">
              <w:rPr>
                <w:rFonts w:asciiTheme="majorBidi" w:hAnsiTheme="majorBidi" w:cstheme="majorBidi"/>
                <w:sz w:val="24"/>
                <w:szCs w:val="24"/>
                <w:vertAlign w:val="superscript"/>
              </w:rPr>
              <w:t>*</w:t>
            </w:r>
          </w:p>
        </w:tc>
        <w:tc>
          <w:tcPr>
            <w:tcW w:w="144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0.6 ±  0.6</w:t>
            </w:r>
            <w:r w:rsidRPr="00E02551">
              <w:rPr>
                <w:rFonts w:asciiTheme="majorBidi" w:hAnsiTheme="majorBidi" w:cstheme="majorBidi"/>
                <w:sz w:val="24"/>
                <w:szCs w:val="24"/>
                <w:vertAlign w:val="superscript"/>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1710" w:type="dxa"/>
            <w:vMerge/>
          </w:tcPr>
          <w:p w:rsidR="00F467F9" w:rsidRPr="00E02551" w:rsidRDefault="00F467F9" w:rsidP="00F467F9">
            <w:pPr>
              <w:spacing w:line="240" w:lineRule="auto"/>
              <w:jc w:val="both"/>
              <w:rPr>
                <w:rFonts w:asciiTheme="majorBidi" w:hAnsiTheme="majorBidi" w:cstheme="majorBidi"/>
                <w:sz w:val="24"/>
                <w:szCs w:val="24"/>
              </w:rPr>
            </w:pPr>
          </w:p>
        </w:tc>
        <w:tc>
          <w:tcPr>
            <w:tcW w:w="126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8</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0.76 ±  0.6</w:t>
            </w:r>
            <w:r w:rsidRPr="00E02551">
              <w:rPr>
                <w:rFonts w:asciiTheme="majorBidi" w:hAnsiTheme="majorBidi" w:cstheme="majorBidi"/>
                <w:sz w:val="24"/>
                <w:szCs w:val="24"/>
                <w:vertAlign w:val="superscript"/>
              </w:rPr>
              <w:t>*</w:t>
            </w:r>
          </w:p>
        </w:tc>
        <w:tc>
          <w:tcPr>
            <w:tcW w:w="180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0.67±  0.6</w:t>
            </w:r>
            <w:r w:rsidRPr="00E02551">
              <w:rPr>
                <w:rFonts w:asciiTheme="majorBidi" w:hAnsiTheme="majorBidi" w:cstheme="majorBidi"/>
                <w:sz w:val="24"/>
                <w:szCs w:val="24"/>
                <w:vertAlign w:val="superscript"/>
              </w:rPr>
              <w:t>*</w:t>
            </w:r>
          </w:p>
        </w:tc>
        <w:tc>
          <w:tcPr>
            <w:tcW w:w="144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0.5 ±  0.4</w:t>
            </w:r>
            <w:r w:rsidRPr="00E02551">
              <w:rPr>
                <w:rFonts w:asciiTheme="majorBidi" w:hAnsiTheme="majorBidi" w:cstheme="majorBidi"/>
                <w:sz w:val="24"/>
                <w:szCs w:val="24"/>
                <w:vertAlign w:val="superscript"/>
              </w:rPr>
              <w:t>*</w:t>
            </w:r>
          </w:p>
        </w:tc>
      </w:tr>
      <w:tr w:rsidR="00F467F9" w:rsidRPr="00E02551" w:rsidTr="00F467F9">
        <w:trPr>
          <w:trHeight w:val="8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DEEAF6" w:themeFill="accent1" w:themeFillTint="33"/>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12</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0.72±  0.6</w:t>
            </w:r>
            <w:r w:rsidRPr="00E02551">
              <w:rPr>
                <w:rFonts w:asciiTheme="majorBidi" w:hAnsiTheme="majorBidi" w:cstheme="majorBidi"/>
                <w:sz w:val="24"/>
                <w:szCs w:val="24"/>
                <w:vertAlign w:val="superscript"/>
              </w:rPr>
              <w:t>*</w:t>
            </w:r>
          </w:p>
        </w:tc>
        <w:tc>
          <w:tcPr>
            <w:tcW w:w="180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0.52 ±  0.5</w:t>
            </w:r>
            <w:r w:rsidRPr="00E02551">
              <w:rPr>
                <w:rFonts w:asciiTheme="majorBidi" w:hAnsiTheme="majorBidi" w:cstheme="majorBidi"/>
                <w:sz w:val="24"/>
                <w:szCs w:val="24"/>
                <w:vertAlign w:val="superscript"/>
              </w:rPr>
              <w:t>*</w:t>
            </w:r>
          </w:p>
        </w:tc>
        <w:tc>
          <w:tcPr>
            <w:tcW w:w="144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0.43 ±  0.4</w:t>
            </w:r>
            <w:r w:rsidRPr="00E02551">
              <w:rPr>
                <w:rFonts w:asciiTheme="majorBidi" w:hAnsiTheme="majorBidi" w:cstheme="majorBidi"/>
                <w:sz w:val="24"/>
                <w:szCs w:val="24"/>
                <w:vertAlign w:val="superscript"/>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1710" w:type="dxa"/>
            <w:vMerge w:val="restart"/>
            <w:shd w:val="clear" w:color="auto" w:fill="FFFFFF" w:themeFill="background1"/>
          </w:tcPr>
          <w:p w:rsidR="00F467F9" w:rsidRPr="00E02551" w:rsidRDefault="00F467F9" w:rsidP="00F467F9">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GI</w:t>
            </w:r>
          </w:p>
        </w:tc>
        <w:tc>
          <w:tcPr>
            <w:tcW w:w="126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Baseline</w:t>
            </w:r>
          </w:p>
        </w:tc>
        <w:tc>
          <w:tcPr>
            <w:tcW w:w="153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1.1 ±  0.7</w:t>
            </w:r>
          </w:p>
        </w:tc>
        <w:tc>
          <w:tcPr>
            <w:tcW w:w="180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1.2 ±  0.6</w:t>
            </w:r>
          </w:p>
        </w:tc>
        <w:tc>
          <w:tcPr>
            <w:tcW w:w="144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1.0 ±  0.6</w:t>
            </w:r>
          </w:p>
        </w:tc>
      </w:tr>
      <w:tr w:rsidR="00F467F9" w:rsidRPr="00E02551" w:rsidTr="00F467F9">
        <w:trPr>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FFFFFF" w:themeFill="background1"/>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0.75 ±  0.4</w:t>
            </w:r>
            <w:r w:rsidRPr="00E02551">
              <w:rPr>
                <w:rFonts w:asciiTheme="majorBidi" w:hAnsiTheme="majorBidi" w:cstheme="majorBidi"/>
                <w:sz w:val="24"/>
                <w:szCs w:val="24"/>
                <w:vertAlign w:val="superscript"/>
              </w:rPr>
              <w:t>*</w:t>
            </w:r>
          </w:p>
        </w:tc>
        <w:tc>
          <w:tcPr>
            <w:tcW w:w="180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0.8 ±  0.5</w:t>
            </w:r>
            <w:r w:rsidRPr="00E02551">
              <w:rPr>
                <w:rFonts w:asciiTheme="majorBidi" w:hAnsiTheme="majorBidi" w:cstheme="majorBidi"/>
                <w:sz w:val="24"/>
                <w:szCs w:val="24"/>
                <w:vertAlign w:val="superscript"/>
              </w:rPr>
              <w:t>*</w:t>
            </w:r>
          </w:p>
        </w:tc>
        <w:tc>
          <w:tcPr>
            <w:tcW w:w="144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0.64 ±  0.5</w:t>
            </w:r>
            <w:r w:rsidRPr="00E02551">
              <w:rPr>
                <w:rFonts w:asciiTheme="majorBidi" w:hAnsiTheme="majorBidi" w:cstheme="majorBidi"/>
                <w:sz w:val="24"/>
                <w:szCs w:val="24"/>
                <w:vertAlign w:val="superscript"/>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FFFFFF" w:themeFill="background1"/>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8</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0.73 ±  0.5</w:t>
            </w:r>
            <w:r w:rsidRPr="00E02551">
              <w:rPr>
                <w:rFonts w:asciiTheme="majorBidi" w:hAnsiTheme="majorBidi" w:cstheme="majorBidi"/>
                <w:sz w:val="24"/>
                <w:szCs w:val="24"/>
                <w:vertAlign w:val="superscript"/>
              </w:rPr>
              <w:t>*</w:t>
            </w:r>
          </w:p>
        </w:tc>
        <w:tc>
          <w:tcPr>
            <w:tcW w:w="180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0.62 ±  0.4</w:t>
            </w:r>
            <w:r w:rsidRPr="00E02551">
              <w:rPr>
                <w:rFonts w:asciiTheme="majorBidi" w:hAnsiTheme="majorBidi" w:cstheme="majorBidi"/>
                <w:sz w:val="24"/>
                <w:szCs w:val="24"/>
                <w:vertAlign w:val="superscript"/>
              </w:rPr>
              <w:t>*</w:t>
            </w:r>
          </w:p>
        </w:tc>
        <w:tc>
          <w:tcPr>
            <w:tcW w:w="144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0.59 ±  0.4</w:t>
            </w:r>
            <w:r w:rsidRPr="00E02551">
              <w:rPr>
                <w:rFonts w:asciiTheme="majorBidi" w:hAnsiTheme="majorBidi" w:cstheme="majorBidi"/>
                <w:sz w:val="24"/>
                <w:szCs w:val="24"/>
                <w:vertAlign w:val="superscript"/>
              </w:rPr>
              <w:t>*</w:t>
            </w:r>
          </w:p>
        </w:tc>
      </w:tr>
      <w:tr w:rsidR="00F467F9" w:rsidRPr="00E02551" w:rsidTr="00F467F9">
        <w:trPr>
          <w:trHeight w:val="44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FFFFFF" w:themeFill="background1"/>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12</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0.69 ±  0.5</w:t>
            </w:r>
            <w:r w:rsidRPr="00E02551">
              <w:rPr>
                <w:rFonts w:asciiTheme="majorBidi" w:hAnsiTheme="majorBidi" w:cstheme="majorBidi"/>
                <w:sz w:val="24"/>
                <w:szCs w:val="24"/>
                <w:vertAlign w:val="superscript"/>
              </w:rPr>
              <w:t>*</w:t>
            </w:r>
          </w:p>
        </w:tc>
        <w:tc>
          <w:tcPr>
            <w:tcW w:w="180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0.78 ±  0.4</w:t>
            </w:r>
            <w:r w:rsidRPr="00E02551">
              <w:rPr>
                <w:rFonts w:asciiTheme="majorBidi" w:hAnsiTheme="majorBidi" w:cstheme="majorBidi"/>
                <w:sz w:val="24"/>
                <w:szCs w:val="24"/>
                <w:vertAlign w:val="superscript"/>
              </w:rPr>
              <w:t>*</w:t>
            </w:r>
          </w:p>
        </w:tc>
        <w:tc>
          <w:tcPr>
            <w:tcW w:w="144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0.57 ±  0.4</w:t>
            </w:r>
            <w:r w:rsidRPr="00E02551">
              <w:rPr>
                <w:rFonts w:asciiTheme="majorBidi" w:hAnsiTheme="majorBidi" w:cstheme="majorBidi"/>
                <w:sz w:val="24"/>
                <w:szCs w:val="24"/>
                <w:vertAlign w:val="superscript"/>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710" w:type="dxa"/>
            <w:vMerge w:val="restart"/>
          </w:tcPr>
          <w:p w:rsidR="00F467F9" w:rsidRPr="00E02551" w:rsidRDefault="00F467F9" w:rsidP="00F467F9">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PD (mm)</w:t>
            </w:r>
          </w:p>
        </w:tc>
        <w:tc>
          <w:tcPr>
            <w:tcW w:w="126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Baseline</w:t>
            </w:r>
          </w:p>
        </w:tc>
        <w:tc>
          <w:tcPr>
            <w:tcW w:w="153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7.27 ± 0.73</w:t>
            </w:r>
          </w:p>
        </w:tc>
        <w:tc>
          <w:tcPr>
            <w:tcW w:w="180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7.38 ± 0.71</w:t>
            </w:r>
          </w:p>
        </w:tc>
        <w:tc>
          <w:tcPr>
            <w:tcW w:w="144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7.12 ± 0.73</w:t>
            </w:r>
          </w:p>
        </w:tc>
      </w:tr>
      <w:tr w:rsidR="00F467F9" w:rsidRPr="00E02551" w:rsidTr="00F467F9">
        <w:trPr>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DEEAF6" w:themeFill="accent1" w:themeFillTint="33"/>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6.03 ± 0.90</w:t>
            </w:r>
            <w:r w:rsidRPr="00E02551">
              <w:rPr>
                <w:rFonts w:asciiTheme="majorBidi" w:hAnsiTheme="majorBidi" w:cstheme="majorBidi"/>
                <w:sz w:val="24"/>
                <w:szCs w:val="24"/>
                <w:vertAlign w:val="superscript"/>
              </w:rPr>
              <w:t>*</w:t>
            </w:r>
          </w:p>
        </w:tc>
        <w:tc>
          <w:tcPr>
            <w:tcW w:w="180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5.88 ± 0.94</w:t>
            </w:r>
            <w:r w:rsidRPr="00E02551">
              <w:rPr>
                <w:rFonts w:asciiTheme="majorBidi" w:hAnsiTheme="majorBidi" w:cstheme="majorBidi"/>
                <w:sz w:val="24"/>
                <w:szCs w:val="24"/>
                <w:vertAlign w:val="superscript"/>
              </w:rPr>
              <w:t>*</w:t>
            </w:r>
          </w:p>
        </w:tc>
        <w:tc>
          <w:tcPr>
            <w:tcW w:w="144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6.92 ± 0.91</w:t>
            </w:r>
            <w:r w:rsidRPr="00E02551">
              <w:rPr>
                <w:rFonts w:asciiTheme="majorBidi" w:hAnsiTheme="majorBidi" w:cstheme="majorBidi"/>
                <w:sz w:val="24"/>
                <w:szCs w:val="24"/>
                <w:vertAlign w:val="superscript"/>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710" w:type="dxa"/>
            <w:vMerge/>
          </w:tcPr>
          <w:p w:rsidR="00F467F9" w:rsidRPr="00E02551" w:rsidRDefault="00F467F9" w:rsidP="00F467F9">
            <w:pPr>
              <w:spacing w:line="240" w:lineRule="auto"/>
              <w:jc w:val="both"/>
              <w:rPr>
                <w:rFonts w:asciiTheme="majorBidi" w:hAnsiTheme="majorBidi" w:cstheme="majorBidi"/>
                <w:sz w:val="24"/>
                <w:szCs w:val="24"/>
              </w:rPr>
            </w:pPr>
          </w:p>
        </w:tc>
        <w:tc>
          <w:tcPr>
            <w:tcW w:w="126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8</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5.10 ± 0.75</w:t>
            </w:r>
            <w:r w:rsidRPr="00E02551">
              <w:rPr>
                <w:rFonts w:asciiTheme="majorBidi" w:hAnsiTheme="majorBidi" w:cstheme="majorBidi"/>
                <w:sz w:val="24"/>
                <w:szCs w:val="24"/>
                <w:vertAlign w:val="superscript"/>
              </w:rPr>
              <w:t>*</w:t>
            </w:r>
          </w:p>
        </w:tc>
        <w:tc>
          <w:tcPr>
            <w:tcW w:w="180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4.98 ± 0.50</w:t>
            </w:r>
            <w:r w:rsidRPr="00E02551">
              <w:rPr>
                <w:rFonts w:asciiTheme="majorBidi" w:hAnsiTheme="majorBidi" w:cstheme="majorBidi"/>
                <w:sz w:val="24"/>
                <w:szCs w:val="24"/>
                <w:vertAlign w:val="superscript"/>
              </w:rPr>
              <w:t>*</w:t>
            </w:r>
          </w:p>
        </w:tc>
        <w:tc>
          <w:tcPr>
            <w:tcW w:w="144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6.57 ±  0.75</w:t>
            </w:r>
            <w:r w:rsidRPr="00E02551">
              <w:rPr>
                <w:rFonts w:asciiTheme="majorBidi" w:hAnsiTheme="majorBidi" w:cstheme="majorBidi"/>
                <w:sz w:val="24"/>
                <w:szCs w:val="24"/>
                <w:vertAlign w:val="superscript"/>
              </w:rPr>
              <w:t>*</w:t>
            </w:r>
          </w:p>
        </w:tc>
      </w:tr>
      <w:tr w:rsidR="00F467F9" w:rsidRPr="00E02551" w:rsidTr="00F467F9">
        <w:trPr>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DEEAF6" w:themeFill="accent1" w:themeFillTint="33"/>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12</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4.51 ± 1.25</w:t>
            </w:r>
            <w:r w:rsidRPr="00E02551">
              <w:rPr>
                <w:rFonts w:asciiTheme="majorBidi" w:hAnsiTheme="majorBidi" w:cstheme="majorBidi"/>
                <w:sz w:val="24"/>
                <w:szCs w:val="24"/>
                <w:vertAlign w:val="superscript"/>
              </w:rPr>
              <w:t>*</w:t>
            </w:r>
          </w:p>
        </w:tc>
        <w:tc>
          <w:tcPr>
            <w:tcW w:w="180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4.55 ± 0.57</w:t>
            </w:r>
            <w:r w:rsidRPr="00E02551">
              <w:rPr>
                <w:rFonts w:asciiTheme="majorBidi" w:hAnsiTheme="majorBidi" w:cstheme="majorBidi"/>
                <w:sz w:val="24"/>
                <w:szCs w:val="24"/>
                <w:vertAlign w:val="superscript"/>
              </w:rPr>
              <w:t>*</w:t>
            </w:r>
          </w:p>
        </w:tc>
        <w:tc>
          <w:tcPr>
            <w:tcW w:w="144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6.23 ± 0.67</w:t>
            </w:r>
            <w:r w:rsidRPr="00E02551">
              <w:rPr>
                <w:rFonts w:asciiTheme="majorBidi" w:hAnsiTheme="majorBidi" w:cstheme="majorBidi"/>
                <w:sz w:val="24"/>
                <w:szCs w:val="24"/>
                <w:vertAlign w:val="superscript"/>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710" w:type="dxa"/>
            <w:vMerge w:val="restart"/>
            <w:shd w:val="clear" w:color="auto" w:fill="FFFFFF" w:themeFill="background1"/>
          </w:tcPr>
          <w:p w:rsidR="00F467F9" w:rsidRPr="00E02551" w:rsidRDefault="00F467F9" w:rsidP="00F467F9">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CAL (mm)</w:t>
            </w:r>
          </w:p>
        </w:tc>
        <w:tc>
          <w:tcPr>
            <w:tcW w:w="126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Baseline</w:t>
            </w:r>
          </w:p>
        </w:tc>
        <w:tc>
          <w:tcPr>
            <w:tcW w:w="153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6.04 ± 0.80</w:t>
            </w:r>
          </w:p>
        </w:tc>
        <w:tc>
          <w:tcPr>
            <w:tcW w:w="180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6.42 ± 0.76</w:t>
            </w:r>
          </w:p>
        </w:tc>
        <w:tc>
          <w:tcPr>
            <w:tcW w:w="144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6.35 ± 0.78</w:t>
            </w:r>
          </w:p>
        </w:tc>
      </w:tr>
      <w:tr w:rsidR="00F467F9" w:rsidRPr="00E02551" w:rsidTr="00F467F9">
        <w:trPr>
          <w:trHeight w:val="44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FFFFFF" w:themeFill="background1"/>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5.17 ± 0.81</w:t>
            </w:r>
            <w:r w:rsidRPr="00E02551">
              <w:rPr>
                <w:rFonts w:asciiTheme="majorBidi" w:hAnsiTheme="majorBidi" w:cstheme="majorBidi"/>
                <w:sz w:val="24"/>
                <w:szCs w:val="24"/>
                <w:vertAlign w:val="superscript"/>
              </w:rPr>
              <w:t>*</w:t>
            </w:r>
          </w:p>
        </w:tc>
        <w:tc>
          <w:tcPr>
            <w:tcW w:w="180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5.38 ± 0.67</w:t>
            </w:r>
            <w:r w:rsidRPr="00E02551">
              <w:rPr>
                <w:rFonts w:asciiTheme="majorBidi" w:hAnsiTheme="majorBidi" w:cstheme="majorBidi"/>
                <w:sz w:val="24"/>
                <w:szCs w:val="24"/>
                <w:vertAlign w:val="superscript"/>
              </w:rPr>
              <w:t>*</w:t>
            </w:r>
          </w:p>
        </w:tc>
        <w:tc>
          <w:tcPr>
            <w:tcW w:w="144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6.27 ± 0.82</w:t>
            </w:r>
            <w:r w:rsidRPr="00E02551">
              <w:rPr>
                <w:rFonts w:asciiTheme="majorBidi" w:hAnsiTheme="majorBidi" w:cstheme="majorBidi"/>
                <w:sz w:val="24"/>
                <w:szCs w:val="24"/>
                <w:vertAlign w:val="superscript"/>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FFFFFF" w:themeFill="background1"/>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8</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4.89 ± 0.58</w:t>
            </w:r>
            <w:r w:rsidRPr="00E02551">
              <w:rPr>
                <w:rFonts w:asciiTheme="majorBidi" w:hAnsiTheme="majorBidi" w:cstheme="majorBidi"/>
                <w:sz w:val="24"/>
                <w:szCs w:val="24"/>
                <w:vertAlign w:val="superscript"/>
              </w:rPr>
              <w:t>*</w:t>
            </w:r>
          </w:p>
        </w:tc>
        <w:tc>
          <w:tcPr>
            <w:tcW w:w="180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5.01 ± 0.56</w:t>
            </w:r>
            <w:r w:rsidRPr="00E02551">
              <w:rPr>
                <w:rFonts w:asciiTheme="majorBidi" w:hAnsiTheme="majorBidi" w:cstheme="majorBidi"/>
                <w:sz w:val="24"/>
                <w:szCs w:val="24"/>
                <w:vertAlign w:val="superscript"/>
              </w:rPr>
              <w:t>*</w:t>
            </w:r>
          </w:p>
        </w:tc>
        <w:tc>
          <w:tcPr>
            <w:tcW w:w="1440" w:type="dxa"/>
            <w:shd w:val="clear" w:color="auto" w:fill="FFFFFF" w:themeFill="background1"/>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6.13 ±  0.76</w:t>
            </w:r>
            <w:r w:rsidRPr="00E02551">
              <w:rPr>
                <w:rFonts w:asciiTheme="majorBidi" w:hAnsiTheme="majorBidi" w:cstheme="majorBidi"/>
                <w:sz w:val="24"/>
                <w:szCs w:val="24"/>
                <w:vertAlign w:val="superscript"/>
              </w:rPr>
              <w:t>*</w:t>
            </w:r>
          </w:p>
        </w:tc>
      </w:tr>
      <w:tr w:rsidR="00F467F9" w:rsidRPr="00E02551" w:rsidTr="00F467F9">
        <w:trPr>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FFFFFF" w:themeFill="background1"/>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12</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4.06 ± 1.01</w:t>
            </w:r>
            <w:r w:rsidRPr="00E02551">
              <w:rPr>
                <w:rFonts w:asciiTheme="majorBidi" w:hAnsiTheme="majorBidi" w:cstheme="majorBidi"/>
                <w:sz w:val="24"/>
                <w:szCs w:val="24"/>
                <w:vertAlign w:val="superscript"/>
              </w:rPr>
              <w:t>*</w:t>
            </w:r>
          </w:p>
        </w:tc>
        <w:tc>
          <w:tcPr>
            <w:tcW w:w="180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4.38 ± 0.74</w:t>
            </w:r>
            <w:r w:rsidRPr="00E02551">
              <w:rPr>
                <w:rFonts w:asciiTheme="majorBidi" w:hAnsiTheme="majorBidi" w:cstheme="majorBidi"/>
                <w:sz w:val="24"/>
                <w:szCs w:val="24"/>
                <w:vertAlign w:val="superscript"/>
              </w:rPr>
              <w:t>*</w:t>
            </w:r>
          </w:p>
        </w:tc>
        <w:tc>
          <w:tcPr>
            <w:tcW w:w="1440" w:type="dxa"/>
            <w:shd w:val="clear" w:color="auto" w:fill="FFFFFF" w:themeFill="background1"/>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5.99 ± 0.87</w:t>
            </w:r>
            <w:r w:rsidRPr="00E02551">
              <w:rPr>
                <w:rFonts w:asciiTheme="majorBidi" w:hAnsiTheme="majorBidi" w:cstheme="majorBidi"/>
                <w:sz w:val="24"/>
                <w:szCs w:val="24"/>
                <w:vertAlign w:val="superscript"/>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1710" w:type="dxa"/>
            <w:vMerge w:val="restart"/>
          </w:tcPr>
          <w:p w:rsidR="00F467F9" w:rsidRPr="00E02551" w:rsidRDefault="00F467F9" w:rsidP="00F467F9">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BOP (%)</w:t>
            </w:r>
          </w:p>
        </w:tc>
        <w:tc>
          <w:tcPr>
            <w:tcW w:w="126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Baseline</w:t>
            </w:r>
          </w:p>
        </w:tc>
        <w:tc>
          <w:tcPr>
            <w:tcW w:w="153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47.6 ± 28.50</w:t>
            </w:r>
          </w:p>
        </w:tc>
        <w:tc>
          <w:tcPr>
            <w:tcW w:w="180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48.64 ± 26.50</w:t>
            </w:r>
          </w:p>
        </w:tc>
        <w:tc>
          <w:tcPr>
            <w:tcW w:w="144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43.79 ± 23.15</w:t>
            </w:r>
          </w:p>
        </w:tc>
      </w:tr>
      <w:tr w:rsidR="00F467F9" w:rsidRPr="00E02551" w:rsidTr="00F467F9">
        <w:trPr>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DEEAF6" w:themeFill="accent1" w:themeFillTint="33"/>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4</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23.2 ± 20.11</w:t>
            </w:r>
            <w:r w:rsidRPr="00E02551">
              <w:rPr>
                <w:rFonts w:asciiTheme="majorBidi" w:hAnsiTheme="majorBidi" w:cstheme="majorBidi"/>
                <w:sz w:val="24"/>
                <w:szCs w:val="24"/>
                <w:vertAlign w:val="superscript"/>
              </w:rPr>
              <w:t>*</w:t>
            </w:r>
          </w:p>
        </w:tc>
        <w:tc>
          <w:tcPr>
            <w:tcW w:w="180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18.06 ± 13.29</w:t>
            </w:r>
            <w:r w:rsidRPr="00E02551">
              <w:rPr>
                <w:rFonts w:asciiTheme="majorBidi" w:hAnsiTheme="majorBidi" w:cstheme="majorBidi"/>
                <w:sz w:val="24"/>
                <w:szCs w:val="24"/>
                <w:vertAlign w:val="superscript"/>
              </w:rPr>
              <w:t>*</w:t>
            </w:r>
          </w:p>
        </w:tc>
        <w:tc>
          <w:tcPr>
            <w:tcW w:w="144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18.17 ± 13.48</w:t>
            </w:r>
            <w:r w:rsidRPr="00E02551">
              <w:rPr>
                <w:rFonts w:asciiTheme="majorBidi" w:hAnsiTheme="majorBidi" w:cstheme="majorBidi"/>
                <w:sz w:val="24"/>
                <w:szCs w:val="24"/>
                <w:vertAlign w:val="superscript"/>
              </w:rPr>
              <w:t>*</w:t>
            </w:r>
          </w:p>
        </w:tc>
      </w:tr>
      <w:tr w:rsidR="00F467F9" w:rsidRPr="00E02551" w:rsidTr="00F467F9">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710" w:type="dxa"/>
            <w:vMerge/>
          </w:tcPr>
          <w:p w:rsidR="00F467F9" w:rsidRPr="00E02551" w:rsidRDefault="00F467F9" w:rsidP="00F467F9">
            <w:pPr>
              <w:spacing w:line="240" w:lineRule="auto"/>
              <w:jc w:val="both"/>
              <w:rPr>
                <w:rFonts w:asciiTheme="majorBidi" w:hAnsiTheme="majorBidi" w:cstheme="majorBidi"/>
                <w:sz w:val="24"/>
                <w:szCs w:val="24"/>
              </w:rPr>
            </w:pPr>
          </w:p>
        </w:tc>
        <w:tc>
          <w:tcPr>
            <w:tcW w:w="126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8</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20.3 ± 17.88</w:t>
            </w:r>
            <w:r w:rsidRPr="00E02551">
              <w:rPr>
                <w:rFonts w:asciiTheme="majorBidi" w:hAnsiTheme="majorBidi" w:cstheme="majorBidi"/>
                <w:sz w:val="24"/>
                <w:szCs w:val="24"/>
                <w:vertAlign w:val="superscript"/>
              </w:rPr>
              <w:t>*</w:t>
            </w:r>
          </w:p>
        </w:tc>
        <w:tc>
          <w:tcPr>
            <w:tcW w:w="180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18.47 ± 13.88</w:t>
            </w:r>
            <w:r w:rsidRPr="00E02551">
              <w:rPr>
                <w:rFonts w:asciiTheme="majorBidi" w:hAnsiTheme="majorBidi" w:cstheme="majorBidi"/>
                <w:sz w:val="24"/>
                <w:szCs w:val="24"/>
                <w:vertAlign w:val="superscript"/>
              </w:rPr>
              <w:t>*</w:t>
            </w:r>
          </w:p>
        </w:tc>
        <w:tc>
          <w:tcPr>
            <w:tcW w:w="1440" w:type="dxa"/>
          </w:tcPr>
          <w:p w:rsidR="00F467F9" w:rsidRPr="00E02551" w:rsidRDefault="00F467F9" w:rsidP="00F467F9">
            <w:pPr>
              <w:spacing w:line="24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15.3 ± 10.29</w:t>
            </w:r>
            <w:r w:rsidRPr="00E02551">
              <w:rPr>
                <w:rFonts w:asciiTheme="majorBidi" w:hAnsiTheme="majorBidi" w:cstheme="majorBidi"/>
                <w:sz w:val="24"/>
                <w:szCs w:val="24"/>
                <w:vertAlign w:val="superscript"/>
              </w:rPr>
              <w:t>*</w:t>
            </w:r>
          </w:p>
        </w:tc>
      </w:tr>
      <w:tr w:rsidR="00F467F9" w:rsidRPr="00E02551" w:rsidTr="00F467F9">
        <w:trPr>
          <w:trHeight w:val="454"/>
        </w:trPr>
        <w:tc>
          <w:tcPr>
            <w:cnfStyle w:val="001000000000" w:firstRow="0" w:lastRow="0" w:firstColumn="1" w:lastColumn="0" w:oddVBand="0" w:evenVBand="0" w:oddHBand="0" w:evenHBand="0" w:firstRowFirstColumn="0" w:firstRowLastColumn="0" w:lastRowFirstColumn="0" w:lastRowLastColumn="0"/>
            <w:tcW w:w="1710" w:type="dxa"/>
            <w:vMerge/>
            <w:shd w:val="clear" w:color="auto" w:fill="DEEAF6" w:themeFill="accent1" w:themeFillTint="33"/>
          </w:tcPr>
          <w:p w:rsidR="00F467F9" w:rsidRPr="00E02551" w:rsidRDefault="00F467F9" w:rsidP="00F467F9">
            <w:pPr>
              <w:spacing w:line="240" w:lineRule="auto"/>
              <w:jc w:val="both"/>
              <w:rPr>
                <w:rFonts w:asciiTheme="majorBidi" w:hAnsiTheme="majorBidi" w:cstheme="majorBidi"/>
                <w:sz w:val="24"/>
                <w:szCs w:val="24"/>
              </w:rPr>
            </w:pPr>
          </w:p>
        </w:tc>
        <w:tc>
          <w:tcPr>
            <w:tcW w:w="126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12</w:t>
            </w:r>
            <w:r w:rsidRPr="00E02551">
              <w:rPr>
                <w:rFonts w:asciiTheme="majorBidi" w:hAnsiTheme="majorBidi" w:cstheme="majorBidi"/>
                <w:sz w:val="24"/>
                <w:szCs w:val="24"/>
                <w:vertAlign w:val="superscript"/>
              </w:rPr>
              <w:t>th</w:t>
            </w:r>
            <w:r w:rsidRPr="00E02551">
              <w:rPr>
                <w:rFonts w:asciiTheme="majorBidi" w:hAnsiTheme="majorBidi" w:cstheme="majorBidi"/>
                <w:sz w:val="24"/>
                <w:szCs w:val="24"/>
              </w:rPr>
              <w:t xml:space="preserve"> week</w:t>
            </w:r>
          </w:p>
        </w:tc>
        <w:tc>
          <w:tcPr>
            <w:tcW w:w="153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19.87 ± 16.49</w:t>
            </w:r>
            <w:r w:rsidRPr="00E02551">
              <w:rPr>
                <w:rFonts w:asciiTheme="majorBidi" w:hAnsiTheme="majorBidi" w:cstheme="majorBidi"/>
                <w:sz w:val="24"/>
                <w:szCs w:val="24"/>
                <w:vertAlign w:val="superscript"/>
              </w:rPr>
              <w:t>*</w:t>
            </w:r>
          </w:p>
        </w:tc>
        <w:tc>
          <w:tcPr>
            <w:tcW w:w="180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19.00 ± 14.43</w:t>
            </w:r>
            <w:r w:rsidRPr="00E02551">
              <w:rPr>
                <w:rFonts w:asciiTheme="majorBidi" w:hAnsiTheme="majorBidi" w:cstheme="majorBidi"/>
                <w:sz w:val="24"/>
                <w:szCs w:val="24"/>
                <w:vertAlign w:val="superscript"/>
              </w:rPr>
              <w:t>*</w:t>
            </w:r>
          </w:p>
        </w:tc>
        <w:tc>
          <w:tcPr>
            <w:tcW w:w="1440" w:type="dxa"/>
            <w:shd w:val="clear" w:color="auto" w:fill="DEEAF6" w:themeFill="accent1" w:themeFillTint="33"/>
          </w:tcPr>
          <w:p w:rsidR="00F467F9" w:rsidRPr="00E02551" w:rsidRDefault="00F467F9" w:rsidP="00F467F9">
            <w:pPr>
              <w:spacing w:line="24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E02551">
              <w:rPr>
                <w:rFonts w:asciiTheme="majorBidi" w:hAnsiTheme="majorBidi" w:cstheme="majorBidi"/>
                <w:sz w:val="24"/>
                <w:szCs w:val="24"/>
              </w:rPr>
              <w:t>14.47 ± 9.88</w:t>
            </w:r>
            <w:r w:rsidRPr="00E02551">
              <w:rPr>
                <w:rFonts w:asciiTheme="majorBidi" w:hAnsiTheme="majorBidi" w:cstheme="majorBidi"/>
                <w:sz w:val="24"/>
                <w:szCs w:val="24"/>
                <w:vertAlign w:val="superscript"/>
              </w:rPr>
              <w:t>*</w:t>
            </w:r>
          </w:p>
        </w:tc>
      </w:tr>
    </w:tbl>
    <w:p w:rsidR="00F467F9" w:rsidRDefault="00F467F9" w:rsidP="00C1278F">
      <w:pPr>
        <w:pStyle w:val="root-block-node"/>
        <w:jc w:val="both"/>
        <w:rPr>
          <w:rFonts w:asciiTheme="majorBidi" w:eastAsiaTheme="minorHAnsi" w:hAnsiTheme="majorBidi" w:cstheme="majorBidi"/>
          <w:b/>
          <w:bCs/>
        </w:rPr>
      </w:pPr>
      <w:r w:rsidRPr="00F467F9">
        <w:rPr>
          <w:rFonts w:asciiTheme="majorBidi" w:eastAsiaTheme="minorHAnsi" w:hAnsiTheme="majorBidi" w:cstheme="majorBidi"/>
          <w:b/>
          <w:bCs/>
        </w:rPr>
        <w:t>Table 1</w:t>
      </w:r>
      <w:r w:rsidR="00C1278F">
        <w:rPr>
          <w:rFonts w:asciiTheme="majorBidi" w:eastAsiaTheme="minorHAnsi" w:hAnsiTheme="majorBidi" w:cstheme="majorBidi"/>
          <w:b/>
          <w:bCs/>
        </w:rPr>
        <w:t xml:space="preserve">: </w:t>
      </w:r>
      <w:r w:rsidR="00C1278F" w:rsidRPr="00E02551">
        <w:rPr>
          <w:rFonts w:asciiTheme="majorBidi" w:hAnsiTheme="majorBidi" w:cstheme="majorBidi"/>
          <w:i/>
          <w:iCs/>
        </w:rPr>
        <w:t>Patient's characteristics and full-mouth clinical parameters at the baseline and follow-up visits (mean ± standard deviation)</w:t>
      </w:r>
      <w:r w:rsidR="00C1278F">
        <w:rPr>
          <w:rFonts w:asciiTheme="majorBidi" w:hAnsiTheme="majorBidi" w:cstheme="majorBidi"/>
          <w:i/>
          <w:iCs/>
        </w:rPr>
        <w:t>.</w:t>
      </w:r>
      <w:r w:rsidR="00145567">
        <w:rPr>
          <w:rStyle w:val="FootnoteReference"/>
          <w:rFonts w:asciiTheme="majorBidi" w:eastAsiaTheme="minorHAnsi" w:hAnsiTheme="majorBidi" w:cstheme="majorBidi"/>
          <w:b/>
          <w:bCs/>
        </w:rPr>
        <w:footnoteReference w:id="1"/>
      </w:r>
    </w:p>
    <w:tbl>
      <w:tblPr>
        <w:tblStyle w:val="GridTable6Colorful-Accent5"/>
        <w:tblpPr w:leftFromText="180" w:rightFromText="180" w:vertAnchor="text" w:horzAnchor="margin" w:tblpY="243"/>
        <w:tblW w:w="7735" w:type="dxa"/>
        <w:tblLook w:val="04A0" w:firstRow="1" w:lastRow="0" w:firstColumn="1" w:lastColumn="0" w:noHBand="0" w:noVBand="1"/>
      </w:tblPr>
      <w:tblGrid>
        <w:gridCol w:w="1031"/>
        <w:gridCol w:w="941"/>
        <w:gridCol w:w="987"/>
        <w:gridCol w:w="1076"/>
        <w:gridCol w:w="1030"/>
        <w:gridCol w:w="870"/>
        <w:gridCol w:w="900"/>
        <w:gridCol w:w="900"/>
      </w:tblGrid>
      <w:tr w:rsidR="00984745" w:rsidRPr="00E02551" w:rsidTr="00984745">
        <w:trPr>
          <w:cnfStyle w:val="100000000000" w:firstRow="1" w:lastRow="0" w:firstColumn="0" w:lastColumn="0" w:oddVBand="0" w:evenVBand="0" w:oddHBand="0"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1031" w:type="dxa"/>
            <w:shd w:val="clear" w:color="auto" w:fill="002060"/>
          </w:tcPr>
          <w:p w:rsidR="00984745" w:rsidRPr="00E02551" w:rsidRDefault="00984745" w:rsidP="00CD5B3F">
            <w:pPr>
              <w:spacing w:line="240" w:lineRule="auto"/>
              <w:rPr>
                <w:rFonts w:asciiTheme="majorBidi" w:hAnsiTheme="majorBidi" w:cstheme="majorBidi"/>
                <w:color w:val="FFFFFF" w:themeColor="background1"/>
                <w:sz w:val="24"/>
                <w:szCs w:val="24"/>
              </w:rPr>
            </w:pPr>
            <w:r w:rsidRPr="00E02551">
              <w:rPr>
                <w:rFonts w:asciiTheme="majorBidi" w:hAnsiTheme="majorBidi" w:cstheme="majorBidi"/>
                <w:color w:val="FFFFFF" w:themeColor="background1"/>
                <w:sz w:val="24"/>
                <w:szCs w:val="24"/>
              </w:rPr>
              <w:lastRenderedPageBreak/>
              <w:t>PD  mean changes</w:t>
            </w:r>
          </w:p>
        </w:tc>
        <w:tc>
          <w:tcPr>
            <w:tcW w:w="941" w:type="dxa"/>
          </w:tcPr>
          <w:p w:rsidR="00984745" w:rsidRPr="00E02551" w:rsidRDefault="00984745" w:rsidP="00CD5B3F">
            <w:pPr>
              <w:spacing w:line="240"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 xml:space="preserve">4th week visit </w:t>
            </w:r>
          </w:p>
        </w:tc>
        <w:tc>
          <w:tcPr>
            <w:tcW w:w="987" w:type="dxa"/>
          </w:tcPr>
          <w:p w:rsidR="00984745" w:rsidRPr="00E02551" w:rsidRDefault="00984745" w:rsidP="00CD5B3F">
            <w:pPr>
              <w:spacing w:line="240"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 xml:space="preserve">8th week visit </w:t>
            </w:r>
          </w:p>
        </w:tc>
        <w:tc>
          <w:tcPr>
            <w:tcW w:w="1076" w:type="dxa"/>
          </w:tcPr>
          <w:p w:rsidR="00984745" w:rsidRPr="00E02551" w:rsidRDefault="00984745" w:rsidP="00CD5B3F">
            <w:pPr>
              <w:spacing w:line="240"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 xml:space="preserve">12th week visit </w:t>
            </w:r>
          </w:p>
        </w:tc>
        <w:tc>
          <w:tcPr>
            <w:tcW w:w="1030" w:type="dxa"/>
            <w:shd w:val="clear" w:color="auto" w:fill="002060"/>
          </w:tcPr>
          <w:p w:rsidR="00984745" w:rsidRPr="00E02551" w:rsidRDefault="00984745" w:rsidP="00CD5B3F">
            <w:pPr>
              <w:spacing w:line="240"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FFFFFF" w:themeColor="background1"/>
                <w:sz w:val="24"/>
                <w:szCs w:val="24"/>
              </w:rPr>
            </w:pPr>
            <w:r w:rsidRPr="00E02551">
              <w:rPr>
                <w:rFonts w:asciiTheme="majorBidi" w:hAnsiTheme="majorBidi" w:cstheme="majorBidi"/>
                <w:color w:val="FFFFFF" w:themeColor="background1"/>
                <w:sz w:val="24"/>
                <w:szCs w:val="24"/>
              </w:rPr>
              <w:t>CAL  mean changes</w:t>
            </w:r>
          </w:p>
        </w:tc>
        <w:tc>
          <w:tcPr>
            <w:tcW w:w="870" w:type="dxa"/>
          </w:tcPr>
          <w:p w:rsidR="00984745" w:rsidRPr="00E02551" w:rsidRDefault="00984745" w:rsidP="00CD5B3F">
            <w:pPr>
              <w:spacing w:line="240"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 xml:space="preserve">4th week visit </w:t>
            </w:r>
          </w:p>
        </w:tc>
        <w:tc>
          <w:tcPr>
            <w:tcW w:w="900" w:type="dxa"/>
          </w:tcPr>
          <w:p w:rsidR="00984745" w:rsidRPr="00E02551" w:rsidRDefault="00984745" w:rsidP="00CD5B3F">
            <w:pPr>
              <w:spacing w:line="240"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 xml:space="preserve">8th week visit </w:t>
            </w:r>
          </w:p>
        </w:tc>
        <w:tc>
          <w:tcPr>
            <w:tcW w:w="900" w:type="dxa"/>
          </w:tcPr>
          <w:p w:rsidR="00984745" w:rsidRPr="00E02551" w:rsidRDefault="00984745" w:rsidP="00CD5B3F">
            <w:pPr>
              <w:spacing w:line="240"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 xml:space="preserve">12th week visit </w:t>
            </w:r>
          </w:p>
        </w:tc>
      </w:tr>
      <w:tr w:rsidR="00984745" w:rsidRPr="00E02551" w:rsidTr="00984745">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1031" w:type="dxa"/>
            <w:shd w:val="clear" w:color="auto" w:fill="002060"/>
          </w:tcPr>
          <w:p w:rsidR="00984745" w:rsidRPr="00E02551" w:rsidRDefault="00984745" w:rsidP="00CD5B3F">
            <w:pPr>
              <w:spacing w:line="240" w:lineRule="auto"/>
              <w:rPr>
                <w:rFonts w:asciiTheme="majorBidi" w:hAnsiTheme="majorBidi" w:cstheme="majorBidi"/>
                <w:color w:val="FFFFFF" w:themeColor="background1"/>
                <w:sz w:val="24"/>
                <w:szCs w:val="24"/>
              </w:rPr>
            </w:pPr>
            <w:r w:rsidRPr="00E02551">
              <w:rPr>
                <w:rFonts w:asciiTheme="majorBidi" w:hAnsiTheme="majorBidi" w:cstheme="majorBidi"/>
                <w:color w:val="FFFFFF" w:themeColor="background1"/>
                <w:sz w:val="24"/>
                <w:szCs w:val="24"/>
              </w:rPr>
              <w:t>G1</w:t>
            </w:r>
          </w:p>
        </w:tc>
        <w:tc>
          <w:tcPr>
            <w:tcW w:w="941"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1.24 ± 0.85</w:t>
            </w:r>
          </w:p>
        </w:tc>
        <w:tc>
          <w:tcPr>
            <w:tcW w:w="987"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 xml:space="preserve">2.17 ± 0.81* </w:t>
            </w:r>
          </w:p>
        </w:tc>
        <w:tc>
          <w:tcPr>
            <w:tcW w:w="1076"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2.76 ± 1.08*</w:t>
            </w:r>
          </w:p>
        </w:tc>
        <w:tc>
          <w:tcPr>
            <w:tcW w:w="1030" w:type="dxa"/>
            <w:shd w:val="clear" w:color="auto" w:fill="002060"/>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FFFFFF" w:themeColor="background1"/>
                <w:sz w:val="24"/>
                <w:szCs w:val="24"/>
              </w:rPr>
            </w:pPr>
            <w:r w:rsidRPr="00E02551">
              <w:rPr>
                <w:rFonts w:asciiTheme="majorBidi" w:hAnsiTheme="majorBidi" w:cstheme="majorBidi"/>
                <w:color w:val="FFFFFF" w:themeColor="background1"/>
                <w:sz w:val="24"/>
                <w:szCs w:val="24"/>
              </w:rPr>
              <w:t>G1</w:t>
            </w:r>
          </w:p>
        </w:tc>
        <w:tc>
          <w:tcPr>
            <w:tcW w:w="870"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0.85 ± 0.64</w:t>
            </w:r>
          </w:p>
        </w:tc>
        <w:tc>
          <w:tcPr>
            <w:tcW w:w="900"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1.15 ± 0.70*</w:t>
            </w:r>
          </w:p>
        </w:tc>
        <w:tc>
          <w:tcPr>
            <w:tcW w:w="900"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1.98 ± 0.83*</w:t>
            </w:r>
          </w:p>
        </w:tc>
      </w:tr>
      <w:tr w:rsidR="00984745" w:rsidRPr="00E02551" w:rsidTr="00984745">
        <w:trPr>
          <w:trHeight w:val="704"/>
        </w:trPr>
        <w:tc>
          <w:tcPr>
            <w:cnfStyle w:val="001000000000" w:firstRow="0" w:lastRow="0" w:firstColumn="1" w:lastColumn="0" w:oddVBand="0" w:evenVBand="0" w:oddHBand="0" w:evenHBand="0" w:firstRowFirstColumn="0" w:firstRowLastColumn="0" w:lastRowFirstColumn="0" w:lastRowLastColumn="0"/>
            <w:tcW w:w="1031" w:type="dxa"/>
            <w:shd w:val="clear" w:color="auto" w:fill="002060"/>
          </w:tcPr>
          <w:p w:rsidR="00984745" w:rsidRPr="00E02551" w:rsidRDefault="00984745" w:rsidP="00CD5B3F">
            <w:pPr>
              <w:spacing w:line="240" w:lineRule="auto"/>
              <w:rPr>
                <w:rFonts w:asciiTheme="majorBidi" w:hAnsiTheme="majorBidi" w:cstheme="majorBidi"/>
                <w:color w:val="FFFFFF" w:themeColor="background1"/>
                <w:sz w:val="24"/>
                <w:szCs w:val="24"/>
              </w:rPr>
            </w:pPr>
            <w:r w:rsidRPr="00E02551">
              <w:rPr>
                <w:rFonts w:asciiTheme="majorBidi" w:hAnsiTheme="majorBidi" w:cstheme="majorBidi"/>
                <w:color w:val="FFFFFF" w:themeColor="background1"/>
                <w:sz w:val="24"/>
                <w:szCs w:val="24"/>
              </w:rPr>
              <w:t>G2</w:t>
            </w:r>
          </w:p>
        </w:tc>
        <w:tc>
          <w:tcPr>
            <w:tcW w:w="941" w:type="dxa"/>
          </w:tcPr>
          <w:p w:rsidR="00984745" w:rsidRPr="00E02551" w:rsidRDefault="00984745" w:rsidP="00CD5B3F">
            <w:pPr>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1.5 ± 0. 66</w:t>
            </w:r>
          </w:p>
        </w:tc>
        <w:tc>
          <w:tcPr>
            <w:tcW w:w="987" w:type="dxa"/>
          </w:tcPr>
          <w:p w:rsidR="00984745" w:rsidRPr="00E02551" w:rsidRDefault="00984745" w:rsidP="00CD5B3F">
            <w:pPr>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2.4 ± 0.67*</w:t>
            </w:r>
          </w:p>
        </w:tc>
        <w:tc>
          <w:tcPr>
            <w:tcW w:w="1076" w:type="dxa"/>
          </w:tcPr>
          <w:p w:rsidR="00984745" w:rsidRPr="00E02551" w:rsidRDefault="00984745" w:rsidP="00CD5B3F">
            <w:pPr>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2.83 ± 1.26*</w:t>
            </w:r>
          </w:p>
        </w:tc>
        <w:tc>
          <w:tcPr>
            <w:tcW w:w="1030" w:type="dxa"/>
            <w:shd w:val="clear" w:color="auto" w:fill="002060"/>
          </w:tcPr>
          <w:p w:rsidR="00984745" w:rsidRPr="00E02551" w:rsidRDefault="00984745" w:rsidP="00CD5B3F">
            <w:pPr>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FFFFFF" w:themeColor="background1"/>
                <w:sz w:val="24"/>
                <w:szCs w:val="24"/>
              </w:rPr>
            </w:pPr>
            <w:r w:rsidRPr="00E02551">
              <w:rPr>
                <w:rFonts w:asciiTheme="majorBidi" w:hAnsiTheme="majorBidi" w:cstheme="majorBidi"/>
                <w:color w:val="FFFFFF" w:themeColor="background1"/>
                <w:sz w:val="24"/>
                <w:szCs w:val="24"/>
              </w:rPr>
              <w:t>G2</w:t>
            </w:r>
          </w:p>
        </w:tc>
        <w:tc>
          <w:tcPr>
            <w:tcW w:w="870" w:type="dxa"/>
          </w:tcPr>
          <w:p w:rsidR="00984745" w:rsidRPr="00E02551" w:rsidRDefault="00984745" w:rsidP="00CD5B3F">
            <w:pPr>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1.04 ± 0.81</w:t>
            </w:r>
          </w:p>
        </w:tc>
        <w:tc>
          <w:tcPr>
            <w:tcW w:w="900" w:type="dxa"/>
          </w:tcPr>
          <w:p w:rsidR="00984745" w:rsidRPr="00E02551" w:rsidRDefault="00984745" w:rsidP="00CD5B3F">
            <w:pPr>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1.41 ± 0.84*</w:t>
            </w:r>
          </w:p>
        </w:tc>
        <w:tc>
          <w:tcPr>
            <w:tcW w:w="900" w:type="dxa"/>
          </w:tcPr>
          <w:p w:rsidR="00984745" w:rsidRPr="00E02551" w:rsidRDefault="00984745" w:rsidP="00CD5B3F">
            <w:pPr>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2.04 ± 0.85*</w:t>
            </w:r>
          </w:p>
        </w:tc>
      </w:tr>
      <w:tr w:rsidR="00984745" w:rsidRPr="00E02551" w:rsidTr="00984745">
        <w:trPr>
          <w:cnfStyle w:val="000000100000" w:firstRow="0" w:lastRow="0" w:firstColumn="0" w:lastColumn="0" w:oddVBand="0" w:evenVBand="0" w:oddHBand="1"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1031" w:type="dxa"/>
            <w:shd w:val="clear" w:color="auto" w:fill="002060"/>
          </w:tcPr>
          <w:p w:rsidR="00984745" w:rsidRPr="00E02551" w:rsidRDefault="00984745" w:rsidP="00CD5B3F">
            <w:pPr>
              <w:spacing w:line="240" w:lineRule="auto"/>
              <w:rPr>
                <w:rFonts w:asciiTheme="majorBidi" w:hAnsiTheme="majorBidi" w:cstheme="majorBidi"/>
                <w:color w:val="FFFFFF" w:themeColor="background1"/>
                <w:sz w:val="24"/>
                <w:szCs w:val="24"/>
              </w:rPr>
            </w:pPr>
            <w:r w:rsidRPr="00E02551">
              <w:rPr>
                <w:rFonts w:asciiTheme="majorBidi" w:hAnsiTheme="majorBidi" w:cstheme="majorBidi"/>
                <w:color w:val="FFFFFF" w:themeColor="background1"/>
                <w:sz w:val="24"/>
                <w:szCs w:val="24"/>
              </w:rPr>
              <w:t>G3</w:t>
            </w:r>
          </w:p>
        </w:tc>
        <w:tc>
          <w:tcPr>
            <w:tcW w:w="941"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 xml:space="preserve">0.2 ± 0.43 </w:t>
            </w:r>
          </w:p>
        </w:tc>
        <w:tc>
          <w:tcPr>
            <w:tcW w:w="987"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 xml:space="preserve">0.55 ± 0.51* </w:t>
            </w:r>
          </w:p>
        </w:tc>
        <w:tc>
          <w:tcPr>
            <w:tcW w:w="1076"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0.89 ± 0.61*</w:t>
            </w:r>
          </w:p>
        </w:tc>
        <w:tc>
          <w:tcPr>
            <w:tcW w:w="1030" w:type="dxa"/>
            <w:shd w:val="clear" w:color="auto" w:fill="002060"/>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FFFFFF" w:themeColor="background1"/>
                <w:sz w:val="24"/>
                <w:szCs w:val="24"/>
              </w:rPr>
            </w:pPr>
            <w:r w:rsidRPr="00E02551">
              <w:rPr>
                <w:rFonts w:asciiTheme="majorBidi" w:hAnsiTheme="majorBidi" w:cstheme="majorBidi"/>
                <w:color w:val="FFFFFF" w:themeColor="background1"/>
                <w:sz w:val="24"/>
                <w:szCs w:val="24"/>
              </w:rPr>
              <w:t>G3</w:t>
            </w:r>
          </w:p>
        </w:tc>
        <w:tc>
          <w:tcPr>
            <w:tcW w:w="870"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0.08 ± 0.55</w:t>
            </w:r>
          </w:p>
        </w:tc>
        <w:tc>
          <w:tcPr>
            <w:tcW w:w="900"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0.22 ± 0.49*</w:t>
            </w:r>
          </w:p>
        </w:tc>
        <w:tc>
          <w:tcPr>
            <w:tcW w:w="900" w:type="dxa"/>
          </w:tcPr>
          <w:p w:rsidR="00984745" w:rsidRPr="00E02551" w:rsidRDefault="00984745" w:rsidP="00CD5B3F">
            <w:pPr>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Pr>
            </w:pPr>
            <w:r w:rsidRPr="00E02551">
              <w:rPr>
                <w:rFonts w:asciiTheme="majorBidi" w:hAnsiTheme="majorBidi" w:cstheme="majorBidi"/>
                <w:color w:val="auto"/>
                <w:sz w:val="24"/>
                <w:szCs w:val="24"/>
              </w:rPr>
              <w:t>0.36 ± 0.72*</w:t>
            </w:r>
          </w:p>
        </w:tc>
      </w:tr>
    </w:tbl>
    <w:p w:rsidR="0025097C" w:rsidRDefault="00C1278F" w:rsidP="00A103AF">
      <w:pPr>
        <w:pStyle w:val="root-block-node"/>
        <w:jc w:val="both"/>
        <w:rPr>
          <w:rFonts w:asciiTheme="majorBidi" w:eastAsiaTheme="minorHAnsi" w:hAnsiTheme="majorBidi" w:cstheme="majorBidi"/>
        </w:rPr>
      </w:pPr>
      <w:r>
        <w:rPr>
          <w:rFonts w:asciiTheme="majorBidi" w:eastAsiaTheme="minorHAnsi" w:hAnsiTheme="majorBidi" w:cstheme="majorBidi"/>
          <w:b/>
          <w:bCs/>
        </w:rPr>
        <w:t xml:space="preserve">Table 2: </w:t>
      </w:r>
      <w:r w:rsidRPr="00E02551">
        <w:rPr>
          <w:rFonts w:asciiTheme="majorBidi" w:hAnsiTheme="majorBidi" w:cstheme="majorBidi"/>
          <w:i/>
          <w:iCs/>
        </w:rPr>
        <w:t>comparison of mean changes between baseline and visits in group 1,2 and 3</w:t>
      </w:r>
      <w:r>
        <w:rPr>
          <w:rFonts w:asciiTheme="majorBidi" w:hAnsiTheme="majorBidi" w:cstheme="majorBidi"/>
          <w:i/>
          <w:iCs/>
        </w:rPr>
        <w:t>.</w:t>
      </w:r>
      <w:r>
        <w:rPr>
          <w:rStyle w:val="FootnoteReference"/>
          <w:rFonts w:asciiTheme="majorBidi" w:eastAsiaTheme="minorHAnsi" w:hAnsiTheme="majorBidi" w:cstheme="majorBidi"/>
          <w:b/>
          <w:bCs/>
        </w:rPr>
        <w:footnoteReference w:id="2"/>
      </w:r>
    </w:p>
    <w:p w:rsidR="0025097C" w:rsidRDefault="0025097C" w:rsidP="00A103AF">
      <w:pPr>
        <w:pStyle w:val="root-block-node"/>
        <w:jc w:val="both"/>
        <w:rPr>
          <w:rFonts w:asciiTheme="majorBidi" w:eastAsiaTheme="minorHAnsi" w:hAnsiTheme="majorBidi" w:cstheme="majorBidi"/>
        </w:rPr>
      </w:pPr>
    </w:p>
    <w:p w:rsidR="0025097C" w:rsidRDefault="0025097C" w:rsidP="00A103AF">
      <w:pPr>
        <w:pStyle w:val="root-block-node"/>
        <w:jc w:val="both"/>
        <w:rPr>
          <w:rFonts w:asciiTheme="majorBidi" w:eastAsiaTheme="minorHAnsi" w:hAnsiTheme="majorBidi" w:cstheme="majorBidi"/>
        </w:rPr>
      </w:pPr>
    </w:p>
    <w:p w:rsidR="00BB518E" w:rsidRPr="00E02551" w:rsidRDefault="00BB518E" w:rsidP="001D5206">
      <w:pPr>
        <w:spacing w:line="240" w:lineRule="auto"/>
        <w:rPr>
          <w:rFonts w:asciiTheme="majorBidi" w:hAnsiTheme="majorBidi" w:cstheme="majorBidi"/>
          <w:b/>
          <w:bCs/>
          <w:sz w:val="24"/>
          <w:szCs w:val="24"/>
        </w:rPr>
        <w:sectPr w:rsidR="00BB518E" w:rsidRPr="00E02551" w:rsidSect="001D5206">
          <w:type w:val="continuous"/>
          <w:pgSz w:w="11906" w:h="16838"/>
          <w:pgMar w:top="2160" w:right="2160" w:bottom="2160" w:left="2160" w:header="720" w:footer="720" w:gutter="0"/>
          <w:cols w:space="720"/>
          <w:docGrid w:linePitch="360"/>
        </w:sectPr>
      </w:pPr>
    </w:p>
    <w:p w:rsidR="00C24FE7" w:rsidRPr="00E02551" w:rsidRDefault="00C24FE7" w:rsidP="001D5206">
      <w:pPr>
        <w:spacing w:line="240" w:lineRule="auto"/>
        <w:rPr>
          <w:rFonts w:asciiTheme="majorBidi" w:hAnsiTheme="majorBidi" w:cstheme="majorBidi"/>
          <w:i/>
          <w:iCs/>
          <w:sz w:val="24"/>
          <w:szCs w:val="24"/>
        </w:rPr>
        <w:sectPr w:rsidR="00C24FE7" w:rsidRPr="00E02551" w:rsidSect="00F05BB2">
          <w:type w:val="continuous"/>
          <w:pgSz w:w="11906" w:h="16838"/>
          <w:pgMar w:top="1440" w:right="1440" w:bottom="1440" w:left="1440" w:header="720" w:footer="720" w:gutter="0"/>
          <w:cols w:space="720"/>
          <w:docGrid w:linePitch="360"/>
        </w:sectPr>
      </w:pPr>
    </w:p>
    <w:p w:rsidR="00C24FE7" w:rsidRPr="00E02551" w:rsidRDefault="00C24FE7" w:rsidP="001D5206">
      <w:pPr>
        <w:spacing w:line="240" w:lineRule="auto"/>
        <w:rPr>
          <w:rFonts w:asciiTheme="majorBidi" w:hAnsiTheme="majorBidi" w:cstheme="majorBidi"/>
          <w:i/>
          <w:iCs/>
          <w:sz w:val="24"/>
          <w:szCs w:val="24"/>
        </w:rPr>
        <w:sectPr w:rsidR="00C24FE7" w:rsidRPr="00E02551" w:rsidSect="001D45EF">
          <w:type w:val="continuous"/>
          <w:pgSz w:w="11906" w:h="16838"/>
          <w:pgMar w:top="1440" w:right="1440" w:bottom="1440" w:left="1440" w:header="720" w:footer="720" w:gutter="0"/>
          <w:cols w:num="2" w:space="720"/>
          <w:docGrid w:linePitch="360"/>
        </w:sectPr>
      </w:pPr>
    </w:p>
    <w:p w:rsidR="00C24FE7" w:rsidRPr="00E02551" w:rsidRDefault="00C24FE7" w:rsidP="001D5206">
      <w:pPr>
        <w:spacing w:line="240" w:lineRule="auto"/>
        <w:rPr>
          <w:rFonts w:asciiTheme="majorBidi" w:hAnsiTheme="majorBidi" w:cstheme="majorBidi"/>
          <w:i/>
          <w:iCs/>
          <w:sz w:val="24"/>
          <w:szCs w:val="24"/>
        </w:rPr>
        <w:sectPr w:rsidR="00C24FE7" w:rsidRPr="00E02551" w:rsidSect="00623208">
          <w:type w:val="continuous"/>
          <w:pgSz w:w="11906" w:h="16838"/>
          <w:pgMar w:top="1440" w:right="1440" w:bottom="1440" w:left="1440" w:header="720" w:footer="720" w:gutter="0"/>
          <w:cols w:space="720"/>
          <w:docGrid w:linePitch="360"/>
        </w:sectPr>
      </w:pPr>
    </w:p>
    <w:p w:rsidR="00A43A78" w:rsidRPr="000272AD" w:rsidRDefault="00A43A78" w:rsidP="003D61EE">
      <w:pPr>
        <w:spacing w:line="259" w:lineRule="auto"/>
        <w:rPr>
          <w:rFonts w:asciiTheme="minorBidi" w:hAnsiTheme="minorBidi"/>
          <w:b/>
          <w:bCs/>
          <w:sz w:val="24"/>
          <w:szCs w:val="24"/>
        </w:rPr>
      </w:pPr>
      <w:r w:rsidRPr="000272AD">
        <w:rPr>
          <w:rFonts w:asciiTheme="minorBidi" w:hAnsiTheme="minorBidi"/>
          <w:b/>
          <w:bCs/>
          <w:sz w:val="24"/>
          <w:szCs w:val="24"/>
        </w:rPr>
        <w:lastRenderedPageBreak/>
        <w:t>Discussion</w:t>
      </w:r>
    </w:p>
    <w:p w:rsidR="00A43A78" w:rsidRPr="00E02551" w:rsidRDefault="00A43A78" w:rsidP="001D5206">
      <w:pPr>
        <w:pStyle w:val="root-block-node"/>
        <w:jc w:val="both"/>
        <w:rPr>
          <w:rFonts w:asciiTheme="majorBidi" w:eastAsiaTheme="minorHAnsi" w:hAnsiTheme="majorBidi" w:cstheme="majorBidi"/>
        </w:rPr>
      </w:pPr>
      <w:r w:rsidRPr="00E02551">
        <w:rPr>
          <w:rFonts w:asciiTheme="majorBidi" w:eastAsiaTheme="minorHAnsi" w:hAnsiTheme="majorBidi" w:cstheme="majorBidi"/>
        </w:rPr>
        <w:t xml:space="preserve">In the current clinical trial, two different treatment strategies have been investigated in order to prove their clinical benefit as an adjunct to </w:t>
      </w:r>
      <w:r w:rsidR="006E1FE7">
        <w:rPr>
          <w:rFonts w:asciiTheme="majorBidi" w:eastAsiaTheme="minorHAnsi" w:hAnsiTheme="majorBidi" w:cstheme="majorBidi"/>
        </w:rPr>
        <w:t>PMPR</w:t>
      </w:r>
      <w:r w:rsidRPr="00E02551">
        <w:rPr>
          <w:rFonts w:asciiTheme="majorBidi" w:eastAsiaTheme="minorHAnsi" w:hAnsiTheme="majorBidi" w:cstheme="majorBidi"/>
        </w:rPr>
        <w:t xml:space="preserve"> and to compare them in efficiency.</w:t>
      </w:r>
    </w:p>
    <w:p w:rsidR="00A43A78" w:rsidRPr="00E02551" w:rsidRDefault="007B1F22" w:rsidP="001D5206">
      <w:pPr>
        <w:pStyle w:val="root-block-node"/>
        <w:jc w:val="both"/>
        <w:rPr>
          <w:rFonts w:asciiTheme="majorBidi" w:hAnsiTheme="majorBidi" w:cstheme="majorBidi"/>
          <w:b/>
          <w:bCs/>
          <w:shd w:val="clear" w:color="auto" w:fill="FFFFFF"/>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Since the introduction of locally delivered drugs in the dental field, several studies have been conducted to examine their efficacy in treating dental diseases, including chronic periodontitis. Some studies found that these substances (such as HA) when used as an adjunct to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had no actual significant difference compared to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alone.</w:t>
      </w:r>
      <w:r w:rsidR="00A43A78" w:rsidRPr="00E02551">
        <w:rPr>
          <w:rFonts w:asciiTheme="majorBidi" w:eastAsiaTheme="minorHAnsi" w:hAnsiTheme="majorBidi" w:cstheme="majorBidi"/>
          <w:shd w:val="clear" w:color="auto" w:fill="FFFFFF"/>
        </w:rPr>
        <w:t xml:space="preserve"> </w:t>
      </w:r>
      <w:r w:rsidR="00A43A78" w:rsidRPr="00E02551">
        <w:rPr>
          <w:rFonts w:asciiTheme="majorBidi" w:eastAsiaTheme="minorHAnsi" w:hAnsiTheme="majorBidi" w:cstheme="majorBidi"/>
          <w:b/>
          <w:bCs/>
          <w:shd w:val="clear" w:color="auto" w:fill="FFFFFF"/>
          <w:vertAlign w:val="superscript"/>
        </w:rPr>
        <w:t>[8]</w:t>
      </w:r>
      <w:r w:rsidR="00A43A78" w:rsidRPr="00E02551">
        <w:rPr>
          <w:rFonts w:asciiTheme="majorBidi" w:eastAsiaTheme="minorHAnsi" w:hAnsiTheme="majorBidi" w:cstheme="majorBidi"/>
          <w:shd w:val="clear" w:color="auto" w:fill="FFFFFF"/>
          <w:vertAlign w:val="superscript"/>
        </w:rPr>
        <w:t xml:space="preserve">, </w:t>
      </w:r>
      <w:r w:rsidR="00A43A78" w:rsidRPr="00E02551">
        <w:rPr>
          <w:rFonts w:asciiTheme="majorBidi" w:hAnsiTheme="majorBidi" w:cstheme="majorBidi"/>
          <w:b/>
          <w:bCs/>
          <w:shd w:val="clear" w:color="auto" w:fill="FFFFFF"/>
          <w:vertAlign w:val="superscript"/>
        </w:rPr>
        <w:t xml:space="preserve">[9], [10] </w:t>
      </w:r>
      <w:r w:rsidR="00A43A78" w:rsidRPr="00E02551">
        <w:rPr>
          <w:rFonts w:asciiTheme="majorBidi" w:hAnsiTheme="majorBidi" w:cstheme="majorBidi"/>
          <w:shd w:val="clear" w:color="auto" w:fill="FFFFFF"/>
        </w:rPr>
        <w:t xml:space="preserve">However, other studies </w:t>
      </w:r>
      <w:r w:rsidR="00A43A78" w:rsidRPr="00E02551">
        <w:rPr>
          <w:rFonts w:asciiTheme="majorBidi" w:eastAsiaTheme="minorHAnsi" w:hAnsiTheme="majorBidi" w:cstheme="majorBidi"/>
        </w:rPr>
        <w:t xml:space="preserve">showed that there was significant improvement in the periodontal parameters when HA was used as an adjunct to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rather than when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was performed solely.</w:t>
      </w:r>
      <w:r w:rsidR="00A030BB">
        <w:rPr>
          <w:rFonts w:asciiTheme="majorBidi" w:hAnsiTheme="majorBidi" w:cstheme="majorBidi"/>
          <w:b/>
          <w:bCs/>
          <w:shd w:val="clear" w:color="auto" w:fill="FFFFFF"/>
          <w:vertAlign w:val="superscript"/>
        </w:rPr>
        <w:t xml:space="preserve"> [11-15]</w:t>
      </w:r>
    </w:p>
    <w:p w:rsidR="00A43A78" w:rsidRPr="00E02551" w:rsidRDefault="007B1F22" w:rsidP="00D25189">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In </w:t>
      </w:r>
      <w:r w:rsidR="00D25189">
        <w:rPr>
          <w:rFonts w:asciiTheme="majorBidi" w:eastAsiaTheme="minorHAnsi" w:hAnsiTheme="majorBidi" w:cstheme="majorBidi"/>
        </w:rPr>
        <w:t>this</w:t>
      </w:r>
      <w:r w:rsidR="00A43A78" w:rsidRPr="00E02551">
        <w:rPr>
          <w:rFonts w:asciiTheme="majorBidi" w:eastAsiaTheme="minorHAnsi" w:hAnsiTheme="majorBidi" w:cstheme="majorBidi"/>
        </w:rPr>
        <w:t xml:space="preserve"> clinical trial, the results of the group where HA was used as an adjunct to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(G1) were consistent with the latter research studies. A significant difference was noticed in G1 where around 1.98 mm gain in CAL and a 2.76 mm reduction in the PD were noticed, whereas in G3 where only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was performed, only around 0.36 mm of CAL gain and a 0.89 mm PD reduction was observed.</w:t>
      </w:r>
    </w:p>
    <w:p w:rsidR="00A43A78" w:rsidRPr="00E02551" w:rsidRDefault="007B1F22" w:rsidP="001D5206">
      <w:pPr>
        <w:spacing w:line="240" w:lineRule="auto"/>
        <w:jc w:val="both"/>
        <w:rPr>
          <w:rFonts w:asciiTheme="majorBidi" w:hAnsiTheme="majorBidi" w:cstheme="majorBidi"/>
          <w:sz w:val="24"/>
          <w:szCs w:val="24"/>
        </w:rPr>
      </w:pPr>
      <w:r>
        <w:rPr>
          <w:rFonts w:asciiTheme="majorBidi" w:hAnsiTheme="majorBidi" w:cstheme="majorBidi"/>
          <w:sz w:val="24"/>
          <w:szCs w:val="24"/>
        </w:rPr>
        <w:t> </w:t>
      </w:r>
      <w:r>
        <w:rPr>
          <w:rFonts w:asciiTheme="majorBidi" w:hAnsiTheme="majorBidi" w:cstheme="majorBidi"/>
          <w:sz w:val="24"/>
          <w:szCs w:val="24"/>
        </w:rPr>
        <w:t> </w:t>
      </w:r>
      <w:r w:rsidR="00A43A78" w:rsidRPr="00E02551">
        <w:rPr>
          <w:rFonts w:asciiTheme="majorBidi" w:hAnsiTheme="majorBidi" w:cstheme="majorBidi"/>
          <w:sz w:val="24"/>
          <w:szCs w:val="24"/>
        </w:rPr>
        <w:t xml:space="preserve">On the other hand, other treatment protocols were introduced as an adjunct to </w:t>
      </w:r>
      <w:r w:rsidR="006E1FE7">
        <w:rPr>
          <w:rFonts w:asciiTheme="majorBidi" w:hAnsiTheme="majorBidi" w:cstheme="majorBidi"/>
          <w:sz w:val="24"/>
          <w:szCs w:val="24"/>
        </w:rPr>
        <w:t>PMPR</w:t>
      </w:r>
      <w:r w:rsidR="00A43A78" w:rsidRPr="00E02551">
        <w:rPr>
          <w:rFonts w:asciiTheme="majorBidi" w:hAnsiTheme="majorBidi" w:cstheme="majorBidi"/>
          <w:sz w:val="24"/>
          <w:szCs w:val="24"/>
        </w:rPr>
        <w:t xml:space="preserve">. One of these protocols includes the use </w:t>
      </w:r>
      <w:r w:rsidR="00A43A78" w:rsidRPr="00E71A40">
        <w:rPr>
          <w:rFonts w:asciiTheme="majorBidi" w:hAnsiTheme="majorBidi" w:cstheme="majorBidi"/>
          <w:sz w:val="24"/>
          <w:szCs w:val="24"/>
        </w:rPr>
        <w:t>of i-PRF.</w:t>
      </w:r>
      <w:r w:rsidR="00A43A78" w:rsidRPr="00E02551">
        <w:rPr>
          <w:rFonts w:asciiTheme="majorBidi" w:hAnsiTheme="majorBidi" w:cstheme="majorBidi"/>
          <w:sz w:val="24"/>
          <w:szCs w:val="24"/>
        </w:rPr>
        <w:t xml:space="preserve"> There is no doubt that the PRF causes enhancement in all periodontal parameters when used to treat periodontal problems as it contains growth factors. All the studies done on it confirm this fact. However, the use of i-PRF in the non-surgical treatment of periodontitis was done by </w:t>
      </w:r>
      <w:proofErr w:type="spellStart"/>
      <w:r w:rsidR="00A43A78" w:rsidRPr="00E02551">
        <w:rPr>
          <w:rFonts w:asciiTheme="majorBidi" w:hAnsiTheme="majorBidi" w:cstheme="majorBidi"/>
          <w:sz w:val="24"/>
          <w:szCs w:val="24"/>
        </w:rPr>
        <w:t>Vučković</w:t>
      </w:r>
      <w:proofErr w:type="spellEnd"/>
      <w:r w:rsidR="00A43A78" w:rsidRPr="00E02551">
        <w:rPr>
          <w:rFonts w:asciiTheme="majorBidi" w:hAnsiTheme="majorBidi" w:cstheme="majorBidi"/>
          <w:sz w:val="24"/>
          <w:szCs w:val="24"/>
        </w:rPr>
        <w:t xml:space="preserve"> et al. in 2020 </w:t>
      </w:r>
      <w:r w:rsidR="00A43A78" w:rsidRPr="00E71A40">
        <w:rPr>
          <w:rFonts w:asciiTheme="majorBidi" w:hAnsiTheme="majorBidi" w:cstheme="majorBidi"/>
          <w:sz w:val="24"/>
          <w:szCs w:val="24"/>
        </w:rPr>
        <w:t>for the first time</w:t>
      </w:r>
      <w:r w:rsidR="00A43A78" w:rsidRPr="00E02551">
        <w:rPr>
          <w:rFonts w:asciiTheme="majorBidi" w:hAnsiTheme="majorBidi" w:cstheme="majorBidi"/>
          <w:sz w:val="24"/>
          <w:szCs w:val="24"/>
        </w:rPr>
        <w:t xml:space="preserve">. </w:t>
      </w:r>
      <w:r w:rsidR="00A43A78" w:rsidRPr="00E02551">
        <w:rPr>
          <w:rFonts w:asciiTheme="majorBidi" w:hAnsiTheme="majorBidi" w:cstheme="majorBidi"/>
          <w:b/>
          <w:bCs/>
          <w:sz w:val="24"/>
          <w:szCs w:val="24"/>
          <w:vertAlign w:val="superscript"/>
        </w:rPr>
        <w:t>[16]</w:t>
      </w:r>
      <w:r w:rsidR="00A43A78" w:rsidRPr="00E02551">
        <w:rPr>
          <w:rFonts w:asciiTheme="majorBidi" w:hAnsiTheme="majorBidi" w:cstheme="majorBidi"/>
          <w:b/>
          <w:bCs/>
          <w:sz w:val="24"/>
          <w:szCs w:val="24"/>
        </w:rPr>
        <w:t xml:space="preserve"> </w:t>
      </w:r>
      <w:r w:rsidR="00A43A78" w:rsidRPr="00E02551">
        <w:rPr>
          <w:rFonts w:asciiTheme="majorBidi" w:hAnsiTheme="majorBidi" w:cstheme="majorBidi"/>
          <w:sz w:val="24"/>
          <w:szCs w:val="24"/>
        </w:rPr>
        <w:t xml:space="preserve">It showed significant improvements in the periodontal parameters. </w:t>
      </w:r>
    </w:p>
    <w:p w:rsidR="00A43A78" w:rsidRPr="00E02551" w:rsidRDefault="007B1F22" w:rsidP="001D5206">
      <w:pPr>
        <w:spacing w:line="240" w:lineRule="auto"/>
        <w:jc w:val="both"/>
        <w:rPr>
          <w:rFonts w:asciiTheme="majorBidi" w:hAnsiTheme="majorBidi" w:cstheme="majorBidi"/>
          <w:sz w:val="24"/>
          <w:szCs w:val="24"/>
        </w:rPr>
      </w:pPr>
      <w:r>
        <w:rPr>
          <w:rFonts w:asciiTheme="majorBidi" w:hAnsiTheme="majorBidi" w:cstheme="majorBidi"/>
          <w:sz w:val="24"/>
          <w:szCs w:val="24"/>
        </w:rPr>
        <w:t> </w:t>
      </w:r>
      <w:r>
        <w:rPr>
          <w:rFonts w:asciiTheme="majorBidi" w:hAnsiTheme="majorBidi" w:cstheme="majorBidi"/>
          <w:sz w:val="24"/>
          <w:szCs w:val="24"/>
        </w:rPr>
        <w:t> </w:t>
      </w:r>
      <w:r w:rsidR="00A43A78" w:rsidRPr="00E02551">
        <w:rPr>
          <w:rFonts w:asciiTheme="majorBidi" w:hAnsiTheme="majorBidi" w:cstheme="majorBidi"/>
          <w:sz w:val="24"/>
          <w:szCs w:val="24"/>
        </w:rPr>
        <w:t>Recently, research has started to differentiate between red and yellow i-PRF. But, to our best knowledge, to date, the clinical efficacy of red i-PRF in treating periodontal diseases has not been investigated. Thus, our concern was to examine the clinical efficiency of the red i-PRF in treating stage III periodontitis non-surgically for the first time and to compare it to the HA, which has been more familiar in the field for the past few years.</w:t>
      </w:r>
    </w:p>
    <w:p w:rsidR="00A43A78" w:rsidRPr="00E02551" w:rsidRDefault="007B1F22" w:rsidP="00D25189">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D25189">
        <w:rPr>
          <w:rFonts w:asciiTheme="majorBidi" w:eastAsiaTheme="minorHAnsi" w:hAnsiTheme="majorBidi" w:cstheme="majorBidi"/>
        </w:rPr>
        <w:t xml:space="preserve"> Moreover, t</w:t>
      </w:r>
      <w:r w:rsidR="00A43A78" w:rsidRPr="00E02551">
        <w:rPr>
          <w:rFonts w:asciiTheme="majorBidi" w:eastAsiaTheme="minorHAnsi" w:hAnsiTheme="majorBidi" w:cstheme="majorBidi"/>
        </w:rPr>
        <w:t>he randomization strategy used allowed for an evenly dispersed number of patients at the baseline. However, some dropouts were noticed in the three treatment groups. Most of these dropouts occurred as a result of patients' postponing or canceling some of their multiple weekly appointments, resulting in treatment intervals of more than four weeks between visits.</w:t>
      </w:r>
    </w:p>
    <w:p w:rsidR="00A43A78" w:rsidRPr="00E02551" w:rsidRDefault="007B1F22" w:rsidP="001D5206">
      <w:pPr>
        <w:pStyle w:val="root-block-node"/>
        <w:jc w:val="both"/>
        <w:rPr>
          <w:rFonts w:asciiTheme="majorBidi" w:eastAsiaTheme="minorHAnsi" w:hAnsiTheme="majorBidi" w:cstheme="majorBidi"/>
        </w:rPr>
      </w:pPr>
      <w:r>
        <w:rPr>
          <w:rFonts w:asciiTheme="majorBidi" w:eastAsiaTheme="minorHAnsi" w:hAnsiTheme="majorBidi" w:cstheme="majorBidi"/>
        </w:rPr>
        <w:lastRenderedPageBreak/>
        <w:t> </w:t>
      </w:r>
      <w:r>
        <w:rPr>
          <w:rFonts w:asciiTheme="majorBidi" w:eastAsiaTheme="minorHAnsi" w:hAnsiTheme="majorBidi" w:cstheme="majorBidi"/>
        </w:rPr>
        <w:t> </w:t>
      </w:r>
      <w:r w:rsidR="00A43A78" w:rsidRPr="00E02551">
        <w:rPr>
          <w:rFonts w:asciiTheme="majorBidi" w:eastAsiaTheme="minorHAnsi" w:hAnsiTheme="majorBidi" w:cstheme="majorBidi"/>
        </w:rPr>
        <w:t>Nonetheless, the three treatment groups were demographically balanced, and the final sample size in each group was greater than the minimum required (n = 18) for sufficient statistical power.</w:t>
      </w:r>
    </w:p>
    <w:p w:rsidR="00A43A78" w:rsidRPr="00E02551" w:rsidRDefault="007B1F22" w:rsidP="001D5206">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After conducting the treatment for the three </w:t>
      </w:r>
      <w:r w:rsidR="00A43A78" w:rsidRPr="00E71A40">
        <w:rPr>
          <w:rFonts w:asciiTheme="majorBidi" w:eastAsiaTheme="minorHAnsi" w:hAnsiTheme="majorBidi" w:cstheme="majorBidi"/>
        </w:rPr>
        <w:t>groups, the results came out to show that there was no statistically significant difference in the plaque and gingival indices between them all at any time period. This could be due to the fact that all patients were given the same</w:t>
      </w:r>
      <w:r w:rsidR="00A43A78" w:rsidRPr="00E02551">
        <w:rPr>
          <w:rFonts w:asciiTheme="majorBidi" w:eastAsiaTheme="minorHAnsi" w:hAnsiTheme="majorBidi" w:cstheme="majorBidi"/>
        </w:rPr>
        <w:t xml:space="preserve"> oral hygiene recommendations and used the same oral hygiene equipment.</w:t>
      </w:r>
    </w:p>
    <w:p w:rsidR="00A43A78" w:rsidRPr="00E02551" w:rsidRDefault="007B1F22" w:rsidP="001D5206">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Similarly, there was no statistically significant difference in the reduction of BOP between the three groups despite the significant reduction in the PD. This has been discussed in previous studies (Fang et al., 2016). The removal of the major biofilm mass during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may be the reason behind the resolution of tissue inflammation and vasodilation, thus leading to a decrease in the BOP.</w:t>
      </w:r>
      <w:r w:rsidR="00A030BB">
        <w:rPr>
          <w:rFonts w:asciiTheme="majorBidi" w:eastAsiaTheme="minorHAnsi" w:hAnsiTheme="majorBidi" w:cstheme="majorBidi"/>
          <w:b/>
          <w:bCs/>
          <w:vertAlign w:val="superscript"/>
        </w:rPr>
        <w:t xml:space="preserve"> [21]</w:t>
      </w:r>
    </w:p>
    <w:p w:rsidR="00A43A78" w:rsidRPr="00E02551" w:rsidRDefault="007B1F22" w:rsidP="001D5206">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Regarding the CAL gain, both groups G1 and G2, where adjunctive treatment was done in addition to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showed significant improvement during the three-month period. Around 1.98 mm of gain in CAL was noticed in G1 where HA was used. Similarly, around 2.04 mm of gain in CAL was observed in G2 where red i-PRF was applied. However, G3, where only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was done, showed no significant gain (only 0.36 mm). This shows that both adjunctive treatments, HA and i-PRF, cause significant improvement in the CAL in comparison to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alone, with no significant difference between them.</w:t>
      </w:r>
    </w:p>
    <w:p w:rsidR="00A43A78" w:rsidRPr="00E02551" w:rsidRDefault="007B1F22" w:rsidP="001D5206">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Likewise, for the PD reduction, both groups G1 and G2, where adjunctive treatment was done in addition to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showed significant improvement during the three-month period. A 2.76 mm reduction in PD was noticed in G1 where HA was used. Similarly, a 2.83 mm decrease in PD was observed in G2 where red i-PRF was applied. However, no significant reduction was observed in G3 where only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was done (almost 0.36 mm). This means that both treatments, HA and i-PRF, lead to a significant reduction in the PD in comparison to </w:t>
      </w:r>
      <w:r w:rsidR="006E1FE7">
        <w:rPr>
          <w:rFonts w:asciiTheme="majorBidi" w:eastAsiaTheme="minorHAnsi" w:hAnsiTheme="majorBidi" w:cstheme="majorBidi"/>
        </w:rPr>
        <w:t>PMPR</w:t>
      </w:r>
      <w:r w:rsidR="00A43A78" w:rsidRPr="00E02551">
        <w:rPr>
          <w:rFonts w:asciiTheme="majorBidi" w:eastAsiaTheme="minorHAnsi" w:hAnsiTheme="majorBidi" w:cstheme="majorBidi"/>
        </w:rPr>
        <w:t xml:space="preserve"> alone, with no significant difference between them.</w:t>
      </w:r>
    </w:p>
    <w:p w:rsidR="00A43A78" w:rsidRPr="00E02551" w:rsidRDefault="007B1F22" w:rsidP="001D5206">
      <w:pPr>
        <w:pStyle w:val="root-block-node"/>
        <w:jc w:val="both"/>
        <w:rPr>
          <w:rFonts w:asciiTheme="majorBidi" w:eastAsiaTheme="minorHAnsi" w:hAnsiTheme="majorBidi" w:cstheme="majorBidi"/>
        </w:rPr>
      </w:pPr>
      <w:r>
        <w:rPr>
          <w:rFonts w:asciiTheme="majorBidi" w:eastAsiaTheme="minorHAnsi" w:hAnsiTheme="majorBidi" w:cstheme="majorBidi"/>
        </w:rPr>
        <w:t> </w:t>
      </w:r>
      <w:r>
        <w:rPr>
          <w:rFonts w:asciiTheme="majorBidi" w:eastAsiaTheme="minorHAnsi" w:hAnsiTheme="majorBidi" w:cstheme="majorBidi"/>
        </w:rPr>
        <w:t> </w:t>
      </w:r>
      <w:r w:rsidR="00A43A78" w:rsidRPr="00E02551">
        <w:rPr>
          <w:rFonts w:asciiTheme="majorBidi" w:eastAsiaTheme="minorHAnsi" w:hAnsiTheme="majorBidi" w:cstheme="majorBidi"/>
        </w:rPr>
        <w:t xml:space="preserve">Note that there were some limitations to the study. Blinding of the therapists was not possible due to the typical specification of the number of appointments (HA applied every four weeks whereas red i-PRF was applied within a ten-day interval) and content of the treatment (special measures should be taken after the application of red i-PRF such as the sponge soaked in saline). However, this didn’t affect the double blindness of the study since the examiners who were collecting data as well as the patients were blinded. </w:t>
      </w:r>
    </w:p>
    <w:p w:rsidR="00A43A78" w:rsidRPr="000272AD" w:rsidRDefault="00A43A78" w:rsidP="001D5206">
      <w:pPr>
        <w:pStyle w:val="root-block-node"/>
        <w:jc w:val="both"/>
        <w:rPr>
          <w:rFonts w:asciiTheme="minorBidi" w:hAnsiTheme="minorBidi" w:cstheme="minorBidi"/>
          <w:b/>
          <w:bCs/>
        </w:rPr>
      </w:pPr>
      <w:r w:rsidRPr="000272AD">
        <w:rPr>
          <w:rFonts w:asciiTheme="minorBidi" w:hAnsiTheme="minorBidi" w:cstheme="minorBidi"/>
          <w:b/>
          <w:bCs/>
        </w:rPr>
        <w:lastRenderedPageBreak/>
        <w:t>Conclusion</w:t>
      </w:r>
    </w:p>
    <w:p w:rsidR="0088547D" w:rsidRDefault="00A43A78" w:rsidP="00AF0008">
      <w:pPr>
        <w:pStyle w:val="root-block-node"/>
        <w:jc w:val="both"/>
        <w:rPr>
          <w:rFonts w:asciiTheme="majorBidi" w:hAnsiTheme="majorBidi" w:cstheme="majorBidi"/>
        </w:rPr>
      </w:pPr>
      <w:r w:rsidRPr="00E02551">
        <w:rPr>
          <w:rFonts w:asciiTheme="majorBidi" w:hAnsiTheme="majorBidi" w:cstheme="majorBidi"/>
        </w:rPr>
        <w:t xml:space="preserve">In conclusion, when used in conjunction with </w:t>
      </w:r>
      <w:r w:rsidR="006E1FE7">
        <w:rPr>
          <w:rFonts w:asciiTheme="majorBidi" w:hAnsiTheme="majorBidi" w:cstheme="majorBidi"/>
        </w:rPr>
        <w:t>PMPR</w:t>
      </w:r>
      <w:r w:rsidRPr="00E02551">
        <w:rPr>
          <w:rFonts w:asciiTheme="majorBidi" w:hAnsiTheme="majorBidi" w:cstheme="majorBidi"/>
        </w:rPr>
        <w:t xml:space="preserve"> to treat stage III periodontitis non-surgically, both treatment modalities, HA and the red i-PRF, significantly improve all periodontal metrics compared to when used alone, especially in terms of CAL gain and PD decrease. However, when comparing these two therapy modalities, there is no statistically significant difference between them, and they both practically have the same efficacy.</w:t>
      </w:r>
    </w:p>
    <w:p w:rsidR="00AF0008" w:rsidRPr="00AF0008" w:rsidRDefault="00AF0008" w:rsidP="00AF0008">
      <w:pPr>
        <w:pStyle w:val="root-block-node"/>
        <w:jc w:val="both"/>
        <w:rPr>
          <w:rFonts w:asciiTheme="majorBidi" w:hAnsiTheme="majorBidi" w:cstheme="majorBidi"/>
        </w:rPr>
      </w:pPr>
    </w:p>
    <w:p w:rsidR="0088547D" w:rsidRPr="00E02551" w:rsidRDefault="0088547D" w:rsidP="001D5206">
      <w:pPr>
        <w:spacing w:line="240" w:lineRule="auto"/>
        <w:jc w:val="both"/>
        <w:rPr>
          <w:rFonts w:asciiTheme="majorBidi" w:hAnsiTheme="majorBidi" w:cstheme="majorBidi"/>
          <w:sz w:val="24"/>
          <w:szCs w:val="24"/>
        </w:rPr>
      </w:pPr>
      <w:r w:rsidRPr="00E02551">
        <w:rPr>
          <w:rFonts w:asciiTheme="majorBidi" w:hAnsiTheme="majorBidi" w:cstheme="majorBidi"/>
          <w:b/>
          <w:bCs/>
          <w:sz w:val="24"/>
          <w:szCs w:val="24"/>
        </w:rPr>
        <w:t>Conflict of interest:</w:t>
      </w:r>
      <w:r w:rsidR="00B024DB">
        <w:rPr>
          <w:rFonts w:asciiTheme="majorBidi" w:hAnsiTheme="majorBidi" w:cstheme="majorBidi"/>
          <w:sz w:val="24"/>
          <w:szCs w:val="24"/>
        </w:rPr>
        <w:t xml:space="preserve"> N</w:t>
      </w:r>
      <w:r w:rsidRPr="00E02551">
        <w:rPr>
          <w:rFonts w:asciiTheme="majorBidi" w:hAnsiTheme="majorBidi" w:cstheme="majorBidi"/>
          <w:sz w:val="24"/>
          <w:szCs w:val="24"/>
        </w:rPr>
        <w:t xml:space="preserve">one declared </w:t>
      </w:r>
    </w:p>
    <w:p w:rsidR="0088547D" w:rsidRDefault="0088547D" w:rsidP="000C02BC">
      <w:pPr>
        <w:spacing w:line="240" w:lineRule="auto"/>
        <w:jc w:val="both"/>
        <w:rPr>
          <w:rFonts w:asciiTheme="majorBidi" w:hAnsiTheme="majorBidi" w:cstheme="majorBidi"/>
          <w:sz w:val="24"/>
          <w:szCs w:val="24"/>
        </w:rPr>
      </w:pPr>
      <w:bookmarkStart w:id="0" w:name="_GoBack"/>
      <w:r w:rsidRPr="00E02551">
        <w:rPr>
          <w:rFonts w:asciiTheme="majorBidi" w:hAnsiTheme="majorBidi" w:cstheme="majorBidi"/>
          <w:b/>
          <w:bCs/>
          <w:sz w:val="24"/>
          <w:szCs w:val="24"/>
        </w:rPr>
        <w:t>Acknowledgments:</w:t>
      </w:r>
      <w:r w:rsidRPr="00E02551">
        <w:rPr>
          <w:rFonts w:asciiTheme="majorBidi" w:hAnsiTheme="majorBidi" w:cstheme="majorBidi"/>
          <w:sz w:val="24"/>
          <w:szCs w:val="24"/>
        </w:rPr>
        <w:t xml:space="preserve"> We thank </w:t>
      </w:r>
      <w:proofErr w:type="spellStart"/>
      <w:r w:rsidRPr="00E02551">
        <w:rPr>
          <w:rFonts w:asciiTheme="majorBidi" w:hAnsiTheme="majorBidi" w:cstheme="majorBidi"/>
          <w:sz w:val="24"/>
          <w:szCs w:val="24"/>
        </w:rPr>
        <w:t>Ricerfarma</w:t>
      </w:r>
      <w:proofErr w:type="spellEnd"/>
      <w:r w:rsidRPr="00E02551">
        <w:rPr>
          <w:rFonts w:asciiTheme="majorBidi" w:hAnsiTheme="majorBidi" w:cstheme="majorBidi"/>
          <w:sz w:val="24"/>
          <w:szCs w:val="24"/>
        </w:rPr>
        <w:t xml:space="preserve"> (Milano-Italy) for providing the GENGIGEL products, and the Faculty of Dentistry at Beirut Arab University for technical assistance and providing devices.</w:t>
      </w:r>
    </w:p>
    <w:p w:rsidR="00970A14" w:rsidRDefault="00970A14" w:rsidP="001D5206">
      <w:pPr>
        <w:spacing w:line="240" w:lineRule="auto"/>
        <w:jc w:val="both"/>
        <w:rPr>
          <w:rFonts w:asciiTheme="majorBidi" w:hAnsiTheme="majorBidi" w:cstheme="majorBidi"/>
          <w:sz w:val="24"/>
          <w:szCs w:val="24"/>
        </w:rPr>
      </w:pPr>
    </w:p>
    <w:bookmarkEnd w:id="0"/>
    <w:p w:rsidR="00970A14" w:rsidRDefault="00970A14"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D25189" w:rsidRDefault="00D25189" w:rsidP="001D5206">
      <w:pPr>
        <w:spacing w:line="240" w:lineRule="auto"/>
        <w:jc w:val="both"/>
        <w:rPr>
          <w:rFonts w:asciiTheme="majorBidi" w:hAnsiTheme="majorBidi" w:cstheme="majorBidi"/>
          <w:sz w:val="24"/>
          <w:szCs w:val="24"/>
        </w:rPr>
      </w:pPr>
    </w:p>
    <w:p w:rsidR="00D25189" w:rsidRDefault="00D25189" w:rsidP="001D5206">
      <w:pPr>
        <w:spacing w:line="240" w:lineRule="auto"/>
        <w:jc w:val="both"/>
        <w:rPr>
          <w:rFonts w:asciiTheme="majorBidi" w:hAnsiTheme="majorBidi" w:cstheme="majorBidi"/>
          <w:sz w:val="24"/>
          <w:szCs w:val="24"/>
        </w:rPr>
      </w:pPr>
    </w:p>
    <w:p w:rsidR="00D25189" w:rsidRDefault="00D25189" w:rsidP="001D5206">
      <w:pPr>
        <w:spacing w:line="240" w:lineRule="auto"/>
        <w:jc w:val="both"/>
        <w:rPr>
          <w:rFonts w:asciiTheme="majorBidi" w:hAnsiTheme="majorBidi" w:cstheme="majorBidi"/>
          <w:sz w:val="24"/>
          <w:szCs w:val="24"/>
        </w:rPr>
      </w:pPr>
    </w:p>
    <w:p w:rsidR="00D25189" w:rsidRDefault="00D25189"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970A14" w:rsidRDefault="00970A14" w:rsidP="001D5206">
      <w:pPr>
        <w:spacing w:line="240" w:lineRule="auto"/>
        <w:jc w:val="both"/>
        <w:rPr>
          <w:rFonts w:asciiTheme="majorBidi" w:hAnsiTheme="majorBidi" w:cstheme="majorBidi"/>
          <w:sz w:val="24"/>
          <w:szCs w:val="24"/>
        </w:rPr>
      </w:pPr>
    </w:p>
    <w:p w:rsidR="00970A14" w:rsidRPr="00E02551" w:rsidRDefault="00970A14" w:rsidP="001D5206">
      <w:pPr>
        <w:spacing w:line="240" w:lineRule="auto"/>
        <w:jc w:val="both"/>
        <w:rPr>
          <w:rFonts w:asciiTheme="majorBidi" w:hAnsiTheme="majorBidi" w:cstheme="majorBidi"/>
          <w:b/>
          <w:bCs/>
          <w:sz w:val="24"/>
          <w:szCs w:val="24"/>
        </w:rPr>
      </w:pPr>
      <w:r w:rsidRPr="00E02551">
        <w:rPr>
          <w:rFonts w:asciiTheme="majorBidi" w:hAnsiTheme="majorBidi" w:cstheme="majorBidi"/>
          <w:b/>
          <w:bCs/>
          <w:sz w:val="24"/>
          <w:szCs w:val="24"/>
        </w:rPr>
        <w:lastRenderedPageBreak/>
        <w:t>References</w:t>
      </w:r>
    </w:p>
    <w:p w:rsidR="00970A14" w:rsidRPr="00E02551" w:rsidRDefault="00970A14" w:rsidP="00562A40">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 xml:space="preserve">[1] </w:t>
      </w:r>
      <w:r w:rsidR="00562A40" w:rsidRPr="00562A40">
        <w:rPr>
          <w:rFonts w:asciiTheme="majorBidi" w:hAnsiTheme="majorBidi" w:cstheme="majorBidi"/>
          <w:sz w:val="24"/>
          <w:szCs w:val="24"/>
        </w:rPr>
        <w:t xml:space="preserve">Dietrich T, </w:t>
      </w:r>
      <w:proofErr w:type="spellStart"/>
      <w:r w:rsidR="00562A40" w:rsidRPr="00562A40">
        <w:rPr>
          <w:rFonts w:asciiTheme="majorBidi" w:hAnsiTheme="majorBidi" w:cstheme="majorBidi"/>
          <w:sz w:val="24"/>
          <w:szCs w:val="24"/>
        </w:rPr>
        <w:t>Ower</w:t>
      </w:r>
      <w:proofErr w:type="spellEnd"/>
      <w:r w:rsidR="00562A40" w:rsidRPr="00562A40">
        <w:rPr>
          <w:rFonts w:asciiTheme="majorBidi" w:hAnsiTheme="majorBidi" w:cstheme="majorBidi"/>
          <w:sz w:val="24"/>
          <w:szCs w:val="24"/>
        </w:rPr>
        <w:t xml:space="preserve"> P, Tank M, West NX, Walter C, Needleman I, Hughes FJ</w:t>
      </w:r>
      <w:r w:rsidR="005A6495">
        <w:rPr>
          <w:rFonts w:asciiTheme="majorBidi" w:hAnsiTheme="majorBidi" w:cstheme="majorBidi"/>
          <w:sz w:val="24"/>
          <w:szCs w:val="24"/>
        </w:rPr>
        <w:t>,</w:t>
      </w:r>
      <w:r w:rsidR="00562A40" w:rsidRPr="00562A40">
        <w:rPr>
          <w:rFonts w:asciiTheme="majorBidi" w:hAnsiTheme="majorBidi" w:cstheme="majorBidi"/>
          <w:sz w:val="24"/>
          <w:szCs w:val="24"/>
        </w:rPr>
        <w:t xml:space="preserve"> and al</w:t>
      </w:r>
      <w:r w:rsidRPr="00970A14">
        <w:rPr>
          <w:rFonts w:asciiTheme="majorBidi" w:hAnsiTheme="majorBidi" w:cstheme="majorBidi"/>
          <w:sz w:val="24"/>
          <w:szCs w:val="24"/>
        </w:rPr>
        <w:t>. British Society of Periodontology</w:t>
      </w:r>
      <w:r>
        <w:rPr>
          <w:rFonts w:asciiTheme="majorBidi" w:hAnsiTheme="majorBidi" w:cstheme="majorBidi"/>
          <w:sz w:val="24"/>
          <w:szCs w:val="24"/>
        </w:rPr>
        <w:t xml:space="preserve"> </w:t>
      </w:r>
      <w:r w:rsidRPr="00970A14">
        <w:rPr>
          <w:rFonts w:asciiTheme="majorBidi" w:hAnsiTheme="majorBidi" w:cstheme="majorBidi"/>
          <w:sz w:val="24"/>
          <w:szCs w:val="24"/>
        </w:rPr>
        <w:t>Periodontal diagnosis in the context of the 2017 classification system of periodontal diseases and conditions - implementation in clinical practice.  Br Dent J. 2019</w:t>
      </w:r>
      <w:r w:rsidR="00562A40">
        <w:rPr>
          <w:rFonts w:asciiTheme="majorBidi" w:hAnsiTheme="majorBidi" w:cstheme="majorBidi"/>
          <w:sz w:val="24"/>
          <w:szCs w:val="24"/>
        </w:rPr>
        <w:t xml:space="preserve"> Jan</w:t>
      </w:r>
      <w:r w:rsidRPr="00970A14">
        <w:rPr>
          <w:rFonts w:asciiTheme="majorBidi" w:hAnsiTheme="majorBidi" w:cstheme="majorBidi"/>
          <w:sz w:val="24"/>
          <w:szCs w:val="24"/>
        </w:rPr>
        <w:t>;</w:t>
      </w:r>
      <w:r w:rsidR="00562A40" w:rsidRPr="00562A40">
        <w:rPr>
          <w:rFonts w:asciiTheme="majorBidi" w:hAnsiTheme="majorBidi" w:cstheme="majorBidi"/>
          <w:sz w:val="24"/>
          <w:szCs w:val="24"/>
        </w:rPr>
        <w:t>226(1):16-22</w:t>
      </w:r>
    </w:p>
    <w:p w:rsidR="005A6495" w:rsidRPr="005A6495" w:rsidRDefault="00970A14" w:rsidP="001D5206">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 xml:space="preserve">[2] </w:t>
      </w:r>
      <w:proofErr w:type="spellStart"/>
      <w:r w:rsidR="005A6495" w:rsidRPr="005A6495">
        <w:rPr>
          <w:rFonts w:asciiTheme="majorBidi" w:hAnsiTheme="majorBidi" w:cstheme="majorBidi"/>
          <w:sz w:val="24"/>
          <w:szCs w:val="24"/>
        </w:rPr>
        <w:t>Sanz</w:t>
      </w:r>
      <w:proofErr w:type="spellEnd"/>
      <w:r w:rsidR="005A6495" w:rsidRPr="005A6495">
        <w:rPr>
          <w:rFonts w:asciiTheme="majorBidi" w:hAnsiTheme="majorBidi" w:cstheme="majorBidi"/>
          <w:sz w:val="24"/>
          <w:szCs w:val="24"/>
        </w:rPr>
        <w:t xml:space="preserve"> I, Alonso B, </w:t>
      </w:r>
      <w:proofErr w:type="spellStart"/>
      <w:r w:rsidR="005A6495" w:rsidRPr="005A6495">
        <w:rPr>
          <w:rFonts w:asciiTheme="majorBidi" w:hAnsiTheme="majorBidi" w:cstheme="majorBidi"/>
          <w:sz w:val="24"/>
          <w:szCs w:val="24"/>
        </w:rPr>
        <w:t>Carasol</w:t>
      </w:r>
      <w:proofErr w:type="spellEnd"/>
      <w:r w:rsidR="005A6495" w:rsidRPr="005A6495">
        <w:rPr>
          <w:rFonts w:asciiTheme="majorBidi" w:hAnsiTheme="majorBidi" w:cstheme="majorBidi"/>
          <w:sz w:val="24"/>
          <w:szCs w:val="24"/>
        </w:rPr>
        <w:t xml:space="preserve"> M, Herrera D, </w:t>
      </w:r>
      <w:proofErr w:type="spellStart"/>
      <w:r w:rsidR="005A6495" w:rsidRPr="005A6495">
        <w:rPr>
          <w:rFonts w:asciiTheme="majorBidi" w:hAnsiTheme="majorBidi" w:cstheme="majorBidi"/>
          <w:sz w:val="24"/>
          <w:szCs w:val="24"/>
        </w:rPr>
        <w:t>Sanz</w:t>
      </w:r>
      <w:proofErr w:type="spellEnd"/>
      <w:r w:rsidR="005A6495" w:rsidRPr="005A6495">
        <w:rPr>
          <w:rFonts w:asciiTheme="majorBidi" w:hAnsiTheme="majorBidi" w:cstheme="majorBidi"/>
          <w:sz w:val="24"/>
          <w:szCs w:val="24"/>
        </w:rPr>
        <w:t xml:space="preserve"> M. Nonsurgical treatment of periodontitis. J </w:t>
      </w:r>
      <w:proofErr w:type="spellStart"/>
      <w:r w:rsidR="005A6495" w:rsidRPr="005A6495">
        <w:rPr>
          <w:rFonts w:asciiTheme="majorBidi" w:hAnsiTheme="majorBidi" w:cstheme="majorBidi"/>
          <w:sz w:val="24"/>
          <w:szCs w:val="24"/>
        </w:rPr>
        <w:t>Evid</w:t>
      </w:r>
      <w:proofErr w:type="spellEnd"/>
      <w:r w:rsidR="005A6495" w:rsidRPr="005A6495">
        <w:rPr>
          <w:rFonts w:asciiTheme="majorBidi" w:hAnsiTheme="majorBidi" w:cstheme="majorBidi"/>
          <w:sz w:val="24"/>
          <w:szCs w:val="24"/>
        </w:rPr>
        <w:t xml:space="preserve"> Based Dent </w:t>
      </w:r>
      <w:proofErr w:type="spellStart"/>
      <w:r w:rsidR="005A6495" w:rsidRPr="005A6495">
        <w:rPr>
          <w:rFonts w:asciiTheme="majorBidi" w:hAnsiTheme="majorBidi" w:cstheme="majorBidi"/>
          <w:sz w:val="24"/>
          <w:szCs w:val="24"/>
        </w:rPr>
        <w:t>Pract</w:t>
      </w:r>
      <w:proofErr w:type="spellEnd"/>
      <w:r w:rsidR="005A6495" w:rsidRPr="005A6495">
        <w:rPr>
          <w:rFonts w:asciiTheme="majorBidi" w:hAnsiTheme="majorBidi" w:cstheme="majorBidi"/>
          <w:sz w:val="24"/>
          <w:szCs w:val="24"/>
        </w:rPr>
        <w:t xml:space="preserve">. 2012 Sep;12(3 </w:t>
      </w:r>
      <w:proofErr w:type="spellStart"/>
      <w:r w:rsidR="005A6495" w:rsidRPr="005A6495">
        <w:rPr>
          <w:rFonts w:asciiTheme="majorBidi" w:hAnsiTheme="majorBidi" w:cstheme="majorBidi"/>
          <w:sz w:val="24"/>
          <w:szCs w:val="24"/>
        </w:rPr>
        <w:t>Suppl</w:t>
      </w:r>
      <w:proofErr w:type="spellEnd"/>
      <w:r w:rsidR="005A6495" w:rsidRPr="005A6495">
        <w:rPr>
          <w:rFonts w:asciiTheme="majorBidi" w:hAnsiTheme="majorBidi" w:cstheme="majorBidi"/>
          <w:sz w:val="24"/>
          <w:szCs w:val="24"/>
        </w:rPr>
        <w:t>):76-86</w:t>
      </w:r>
    </w:p>
    <w:p w:rsidR="00970A14" w:rsidRPr="000C02BC" w:rsidRDefault="005A6495" w:rsidP="005A6495">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 </w:t>
      </w:r>
      <w:r w:rsidR="00970A14" w:rsidRPr="00E02551">
        <w:rPr>
          <w:rFonts w:asciiTheme="majorBidi" w:hAnsiTheme="majorBidi" w:cstheme="majorBidi"/>
          <w:sz w:val="24"/>
          <w:szCs w:val="24"/>
        </w:rPr>
        <w:t xml:space="preserve">[3] </w:t>
      </w:r>
      <w:proofErr w:type="spellStart"/>
      <w:r w:rsidRPr="000C02BC">
        <w:rPr>
          <w:rFonts w:asciiTheme="majorBidi" w:hAnsiTheme="majorBidi" w:cstheme="majorBidi"/>
          <w:sz w:val="24"/>
          <w:szCs w:val="24"/>
        </w:rPr>
        <w:t>Dahiya</w:t>
      </w:r>
      <w:proofErr w:type="spellEnd"/>
      <w:r w:rsidRPr="000C02BC">
        <w:rPr>
          <w:rFonts w:asciiTheme="majorBidi" w:hAnsiTheme="majorBidi" w:cstheme="majorBidi"/>
          <w:sz w:val="24"/>
          <w:szCs w:val="24"/>
        </w:rPr>
        <w:t xml:space="preserve"> P, Kamal R. Hyaluronic Acid: a boon in periodontal therapy. N Am J Med Sci. 2013 May;5(5):309-15.</w:t>
      </w:r>
    </w:p>
    <w:p w:rsidR="005A6495" w:rsidRPr="005A6495" w:rsidRDefault="005A6495" w:rsidP="005A6495">
      <w:pPr>
        <w:pStyle w:val="EndnoteText"/>
        <w:jc w:val="both"/>
        <w:rPr>
          <w:rFonts w:ascii="Segoe UI" w:hAnsi="Segoe UI" w:cs="Segoe UI"/>
          <w:color w:val="212121"/>
          <w:shd w:val="clear" w:color="auto" w:fill="FFFFFF"/>
        </w:rPr>
      </w:pPr>
    </w:p>
    <w:p w:rsidR="00970A14" w:rsidRDefault="00970A14" w:rsidP="005A6495">
      <w:pPr>
        <w:pStyle w:val="EndnoteText"/>
        <w:jc w:val="both"/>
        <w:rPr>
          <w:rFonts w:ascii="Segoe UI" w:hAnsi="Segoe UI" w:cs="Segoe UI"/>
          <w:color w:val="212121"/>
          <w:shd w:val="clear" w:color="auto" w:fill="FFFFFF"/>
        </w:rPr>
      </w:pPr>
      <w:r w:rsidRPr="000C02BC">
        <w:rPr>
          <w:rFonts w:asciiTheme="majorBidi" w:hAnsiTheme="majorBidi" w:cstheme="majorBidi"/>
          <w:sz w:val="24"/>
          <w:szCs w:val="24"/>
        </w:rPr>
        <w:t xml:space="preserve">[4] </w:t>
      </w:r>
      <w:proofErr w:type="spellStart"/>
      <w:r w:rsidR="005A6495" w:rsidRPr="000C02BC">
        <w:rPr>
          <w:rFonts w:asciiTheme="majorBidi" w:hAnsiTheme="majorBidi" w:cstheme="majorBidi"/>
          <w:sz w:val="24"/>
          <w:szCs w:val="24"/>
        </w:rPr>
        <w:t>Casale</w:t>
      </w:r>
      <w:proofErr w:type="spellEnd"/>
      <w:r w:rsidR="005A6495" w:rsidRPr="000C02BC">
        <w:rPr>
          <w:rFonts w:asciiTheme="majorBidi" w:hAnsiTheme="majorBidi" w:cstheme="majorBidi"/>
          <w:sz w:val="24"/>
          <w:szCs w:val="24"/>
        </w:rPr>
        <w:t xml:space="preserve"> M, </w:t>
      </w:r>
      <w:proofErr w:type="spellStart"/>
      <w:r w:rsidR="005A6495" w:rsidRPr="000C02BC">
        <w:rPr>
          <w:rFonts w:asciiTheme="majorBidi" w:hAnsiTheme="majorBidi" w:cstheme="majorBidi"/>
          <w:sz w:val="24"/>
          <w:szCs w:val="24"/>
        </w:rPr>
        <w:t>Moffa</w:t>
      </w:r>
      <w:proofErr w:type="spellEnd"/>
      <w:r w:rsidR="005A6495" w:rsidRPr="000C02BC">
        <w:rPr>
          <w:rFonts w:asciiTheme="majorBidi" w:hAnsiTheme="majorBidi" w:cstheme="majorBidi"/>
          <w:sz w:val="24"/>
          <w:szCs w:val="24"/>
        </w:rPr>
        <w:t xml:space="preserve"> A, Vella P, </w:t>
      </w:r>
      <w:proofErr w:type="spellStart"/>
      <w:r w:rsidR="005A6495" w:rsidRPr="000C02BC">
        <w:rPr>
          <w:rFonts w:asciiTheme="majorBidi" w:hAnsiTheme="majorBidi" w:cstheme="majorBidi"/>
          <w:sz w:val="24"/>
          <w:szCs w:val="24"/>
        </w:rPr>
        <w:t>Sabatino</w:t>
      </w:r>
      <w:proofErr w:type="spellEnd"/>
      <w:r w:rsidR="005A6495" w:rsidRPr="000C02BC">
        <w:rPr>
          <w:rFonts w:asciiTheme="majorBidi" w:hAnsiTheme="majorBidi" w:cstheme="majorBidi"/>
          <w:sz w:val="24"/>
          <w:szCs w:val="24"/>
        </w:rPr>
        <w:t xml:space="preserve"> L, Capuano F, </w:t>
      </w:r>
      <w:proofErr w:type="spellStart"/>
      <w:r w:rsidR="005A6495" w:rsidRPr="000C02BC">
        <w:rPr>
          <w:rFonts w:asciiTheme="majorBidi" w:hAnsiTheme="majorBidi" w:cstheme="majorBidi"/>
          <w:sz w:val="24"/>
          <w:szCs w:val="24"/>
        </w:rPr>
        <w:t>Salvinelli</w:t>
      </w:r>
      <w:proofErr w:type="spellEnd"/>
      <w:r w:rsidR="005A6495" w:rsidRPr="000C02BC">
        <w:rPr>
          <w:rFonts w:asciiTheme="majorBidi" w:hAnsiTheme="majorBidi" w:cstheme="majorBidi"/>
          <w:sz w:val="24"/>
          <w:szCs w:val="24"/>
        </w:rPr>
        <w:t xml:space="preserve"> B, Lopez MA, and al. Hyaluronic acid: Perspectives in dentistry. A systematic review. </w:t>
      </w:r>
      <w:proofErr w:type="spellStart"/>
      <w:r w:rsidR="005A6495" w:rsidRPr="000C02BC">
        <w:rPr>
          <w:rFonts w:asciiTheme="majorBidi" w:hAnsiTheme="majorBidi" w:cstheme="majorBidi"/>
          <w:sz w:val="24"/>
          <w:szCs w:val="24"/>
        </w:rPr>
        <w:t>Int</w:t>
      </w:r>
      <w:proofErr w:type="spellEnd"/>
      <w:r w:rsidR="005A6495" w:rsidRPr="000C02BC">
        <w:rPr>
          <w:rFonts w:asciiTheme="majorBidi" w:hAnsiTheme="majorBidi" w:cstheme="majorBidi"/>
          <w:sz w:val="24"/>
          <w:szCs w:val="24"/>
        </w:rPr>
        <w:t xml:space="preserve"> J </w:t>
      </w:r>
      <w:proofErr w:type="spellStart"/>
      <w:r w:rsidR="005A6495" w:rsidRPr="000C02BC">
        <w:rPr>
          <w:rFonts w:asciiTheme="majorBidi" w:hAnsiTheme="majorBidi" w:cstheme="majorBidi"/>
          <w:sz w:val="24"/>
          <w:szCs w:val="24"/>
        </w:rPr>
        <w:t>Immunopathol</w:t>
      </w:r>
      <w:proofErr w:type="spellEnd"/>
      <w:r w:rsidR="005A6495" w:rsidRPr="000C02BC">
        <w:rPr>
          <w:rFonts w:asciiTheme="majorBidi" w:hAnsiTheme="majorBidi" w:cstheme="majorBidi"/>
          <w:sz w:val="24"/>
          <w:szCs w:val="24"/>
        </w:rPr>
        <w:t xml:space="preserve"> </w:t>
      </w:r>
      <w:proofErr w:type="spellStart"/>
      <w:r w:rsidR="005A6495" w:rsidRPr="000C02BC">
        <w:rPr>
          <w:rFonts w:asciiTheme="majorBidi" w:hAnsiTheme="majorBidi" w:cstheme="majorBidi"/>
          <w:sz w:val="24"/>
          <w:szCs w:val="24"/>
        </w:rPr>
        <w:t>Pharmacol</w:t>
      </w:r>
      <w:proofErr w:type="spellEnd"/>
      <w:r w:rsidR="005A6495" w:rsidRPr="000C02BC">
        <w:rPr>
          <w:rFonts w:asciiTheme="majorBidi" w:hAnsiTheme="majorBidi" w:cstheme="majorBidi"/>
          <w:sz w:val="24"/>
          <w:szCs w:val="24"/>
        </w:rPr>
        <w:t xml:space="preserve">. </w:t>
      </w:r>
      <w:r w:rsidR="005A6495" w:rsidRPr="005A6495">
        <w:rPr>
          <w:rFonts w:asciiTheme="majorBidi" w:hAnsiTheme="majorBidi" w:cstheme="majorBidi"/>
          <w:sz w:val="24"/>
          <w:szCs w:val="24"/>
          <w:lang w:val="fr-FR"/>
        </w:rPr>
        <w:t>2016 Dec;29(4):572-582.</w:t>
      </w:r>
    </w:p>
    <w:p w:rsidR="005A6495" w:rsidRPr="00E02551" w:rsidRDefault="005A6495" w:rsidP="005A6495">
      <w:pPr>
        <w:pStyle w:val="EndnoteText"/>
        <w:jc w:val="both"/>
        <w:rPr>
          <w:rFonts w:asciiTheme="majorBidi" w:hAnsiTheme="majorBidi" w:cstheme="majorBidi"/>
          <w:sz w:val="24"/>
          <w:szCs w:val="24"/>
        </w:rPr>
      </w:pPr>
    </w:p>
    <w:p w:rsidR="00970A14" w:rsidRPr="005A6495" w:rsidRDefault="00970A14" w:rsidP="005A6495">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[5] </w:t>
      </w:r>
      <w:proofErr w:type="spellStart"/>
      <w:r w:rsidR="005A6495" w:rsidRPr="000C02BC">
        <w:rPr>
          <w:rFonts w:asciiTheme="majorBidi" w:hAnsiTheme="majorBidi" w:cstheme="majorBidi"/>
          <w:sz w:val="24"/>
          <w:szCs w:val="24"/>
        </w:rPr>
        <w:t>Häkkinen</w:t>
      </w:r>
      <w:proofErr w:type="spellEnd"/>
      <w:r w:rsidR="005A6495" w:rsidRPr="000C02BC">
        <w:rPr>
          <w:rFonts w:asciiTheme="majorBidi" w:hAnsiTheme="majorBidi" w:cstheme="majorBidi"/>
          <w:sz w:val="24"/>
          <w:szCs w:val="24"/>
        </w:rPr>
        <w:t xml:space="preserve"> L, </w:t>
      </w:r>
      <w:proofErr w:type="spellStart"/>
      <w:r w:rsidR="005A6495" w:rsidRPr="000C02BC">
        <w:rPr>
          <w:rFonts w:asciiTheme="majorBidi" w:hAnsiTheme="majorBidi" w:cstheme="majorBidi"/>
          <w:sz w:val="24"/>
          <w:szCs w:val="24"/>
        </w:rPr>
        <w:t>Uitto</w:t>
      </w:r>
      <w:proofErr w:type="spellEnd"/>
      <w:r w:rsidR="005A6495" w:rsidRPr="000C02BC">
        <w:rPr>
          <w:rFonts w:asciiTheme="majorBidi" w:hAnsiTheme="majorBidi" w:cstheme="majorBidi"/>
          <w:sz w:val="24"/>
          <w:szCs w:val="24"/>
        </w:rPr>
        <w:t xml:space="preserve"> VJ, </w:t>
      </w:r>
      <w:proofErr w:type="spellStart"/>
      <w:r w:rsidR="005A6495" w:rsidRPr="000C02BC">
        <w:rPr>
          <w:rFonts w:asciiTheme="majorBidi" w:hAnsiTheme="majorBidi" w:cstheme="majorBidi"/>
          <w:sz w:val="24"/>
          <w:szCs w:val="24"/>
        </w:rPr>
        <w:t>Larjava</w:t>
      </w:r>
      <w:proofErr w:type="spellEnd"/>
      <w:r w:rsidR="005A6495" w:rsidRPr="000C02BC">
        <w:rPr>
          <w:rFonts w:asciiTheme="majorBidi" w:hAnsiTheme="majorBidi" w:cstheme="majorBidi"/>
          <w:sz w:val="24"/>
          <w:szCs w:val="24"/>
        </w:rPr>
        <w:t xml:space="preserve"> H. Cell biology of gingival wound healing. </w:t>
      </w:r>
      <w:proofErr w:type="spellStart"/>
      <w:r w:rsidR="005A6495" w:rsidRPr="005A6495">
        <w:rPr>
          <w:rFonts w:asciiTheme="majorBidi" w:hAnsiTheme="majorBidi" w:cstheme="majorBidi"/>
          <w:sz w:val="24"/>
          <w:szCs w:val="24"/>
        </w:rPr>
        <w:t>Periodontol</w:t>
      </w:r>
      <w:proofErr w:type="spellEnd"/>
      <w:r w:rsidR="005A6495" w:rsidRPr="005A6495">
        <w:rPr>
          <w:rFonts w:asciiTheme="majorBidi" w:hAnsiTheme="majorBidi" w:cstheme="majorBidi"/>
          <w:sz w:val="24"/>
          <w:szCs w:val="24"/>
        </w:rPr>
        <w:t xml:space="preserve"> 2000. 2000 Oct;24:127-52.</w:t>
      </w:r>
    </w:p>
    <w:p w:rsidR="00970A14" w:rsidRPr="00E02551" w:rsidRDefault="00970A14" w:rsidP="001D5206">
      <w:pPr>
        <w:pStyle w:val="EndnoteText"/>
        <w:jc w:val="both"/>
        <w:rPr>
          <w:rFonts w:asciiTheme="majorBidi" w:hAnsiTheme="majorBidi" w:cstheme="majorBidi"/>
          <w:sz w:val="24"/>
          <w:szCs w:val="24"/>
        </w:rPr>
      </w:pPr>
    </w:p>
    <w:p w:rsidR="00970A14" w:rsidRPr="005A6495" w:rsidRDefault="00970A14" w:rsidP="005A6495">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[6] </w:t>
      </w:r>
      <w:proofErr w:type="spellStart"/>
      <w:r w:rsidR="005A6495" w:rsidRPr="005A6495">
        <w:rPr>
          <w:rFonts w:asciiTheme="majorBidi" w:hAnsiTheme="majorBidi" w:cstheme="majorBidi"/>
          <w:sz w:val="24"/>
          <w:szCs w:val="24"/>
        </w:rPr>
        <w:t>Kour</w:t>
      </w:r>
      <w:proofErr w:type="spellEnd"/>
      <w:r w:rsidR="005A6495" w:rsidRPr="005A6495">
        <w:rPr>
          <w:rFonts w:asciiTheme="majorBidi" w:hAnsiTheme="majorBidi" w:cstheme="majorBidi"/>
          <w:sz w:val="24"/>
          <w:szCs w:val="24"/>
        </w:rPr>
        <w:t xml:space="preserve"> P, </w:t>
      </w:r>
      <w:proofErr w:type="spellStart"/>
      <w:r w:rsidR="005A6495" w:rsidRPr="005A6495">
        <w:rPr>
          <w:rFonts w:asciiTheme="majorBidi" w:hAnsiTheme="majorBidi" w:cstheme="majorBidi"/>
          <w:sz w:val="24"/>
          <w:szCs w:val="24"/>
        </w:rPr>
        <w:t>Pudakalkatti</w:t>
      </w:r>
      <w:proofErr w:type="spellEnd"/>
      <w:r w:rsidR="005A6495" w:rsidRPr="005A6495">
        <w:rPr>
          <w:rFonts w:asciiTheme="majorBidi" w:hAnsiTheme="majorBidi" w:cstheme="majorBidi"/>
          <w:sz w:val="24"/>
          <w:szCs w:val="24"/>
        </w:rPr>
        <w:t xml:space="preserve"> PS, Vas AM, Das S, </w:t>
      </w:r>
      <w:proofErr w:type="spellStart"/>
      <w:r w:rsidR="005A6495" w:rsidRPr="005A6495">
        <w:rPr>
          <w:rFonts w:asciiTheme="majorBidi" w:hAnsiTheme="majorBidi" w:cstheme="majorBidi"/>
          <w:sz w:val="24"/>
          <w:szCs w:val="24"/>
        </w:rPr>
        <w:t>Padmanabhan</w:t>
      </w:r>
      <w:proofErr w:type="spellEnd"/>
      <w:r w:rsidR="005A6495" w:rsidRPr="005A6495">
        <w:rPr>
          <w:rFonts w:asciiTheme="majorBidi" w:hAnsiTheme="majorBidi" w:cstheme="majorBidi"/>
          <w:sz w:val="24"/>
          <w:szCs w:val="24"/>
        </w:rPr>
        <w:t xml:space="preserve"> S. Comparative Evaluation of Antimicrobial Efficacy of Platelet-rich Plasma, Platelet-rich Fibrin, and Injectable Platelet-rich Fibrin on the Standard Strains of </w:t>
      </w:r>
      <w:proofErr w:type="spellStart"/>
      <w:r w:rsidR="005A6495" w:rsidRPr="005A6495">
        <w:rPr>
          <w:rFonts w:asciiTheme="majorBidi" w:hAnsiTheme="majorBidi" w:cstheme="majorBidi"/>
          <w:sz w:val="24"/>
          <w:szCs w:val="24"/>
        </w:rPr>
        <w:t>Porphyromonas</w:t>
      </w:r>
      <w:proofErr w:type="spellEnd"/>
      <w:r w:rsidR="005A6495" w:rsidRPr="005A6495">
        <w:rPr>
          <w:rFonts w:asciiTheme="majorBidi" w:hAnsiTheme="majorBidi" w:cstheme="majorBidi"/>
          <w:sz w:val="24"/>
          <w:szCs w:val="24"/>
        </w:rPr>
        <w:t xml:space="preserve"> </w:t>
      </w:r>
      <w:proofErr w:type="spellStart"/>
      <w:r w:rsidR="005A6495" w:rsidRPr="005A6495">
        <w:rPr>
          <w:rFonts w:asciiTheme="majorBidi" w:hAnsiTheme="majorBidi" w:cstheme="majorBidi"/>
          <w:sz w:val="24"/>
          <w:szCs w:val="24"/>
        </w:rPr>
        <w:t>gingivalis</w:t>
      </w:r>
      <w:proofErr w:type="spellEnd"/>
      <w:r w:rsidR="005A6495" w:rsidRPr="005A6495">
        <w:rPr>
          <w:rFonts w:asciiTheme="majorBidi" w:hAnsiTheme="majorBidi" w:cstheme="majorBidi"/>
          <w:sz w:val="24"/>
          <w:szCs w:val="24"/>
        </w:rPr>
        <w:t> and </w:t>
      </w:r>
      <w:proofErr w:type="spellStart"/>
      <w:r w:rsidR="005A6495" w:rsidRPr="005A6495">
        <w:rPr>
          <w:rFonts w:asciiTheme="majorBidi" w:hAnsiTheme="majorBidi" w:cstheme="majorBidi"/>
          <w:sz w:val="24"/>
          <w:szCs w:val="24"/>
        </w:rPr>
        <w:t>Aggregatibacter</w:t>
      </w:r>
      <w:proofErr w:type="spellEnd"/>
      <w:r w:rsidR="005A6495" w:rsidRPr="005A6495">
        <w:rPr>
          <w:rFonts w:asciiTheme="majorBidi" w:hAnsiTheme="majorBidi" w:cstheme="majorBidi"/>
          <w:sz w:val="24"/>
          <w:szCs w:val="24"/>
        </w:rPr>
        <w:t xml:space="preserve"> actinomycetemcomitans. </w:t>
      </w:r>
      <w:proofErr w:type="spellStart"/>
      <w:r w:rsidR="005A6495" w:rsidRPr="005A6495">
        <w:rPr>
          <w:rFonts w:asciiTheme="majorBidi" w:hAnsiTheme="majorBidi" w:cstheme="majorBidi"/>
          <w:sz w:val="24"/>
          <w:szCs w:val="24"/>
        </w:rPr>
        <w:t>Contemp</w:t>
      </w:r>
      <w:proofErr w:type="spellEnd"/>
      <w:r w:rsidR="005A6495" w:rsidRPr="005A6495">
        <w:rPr>
          <w:rFonts w:asciiTheme="majorBidi" w:hAnsiTheme="majorBidi" w:cstheme="majorBidi"/>
          <w:sz w:val="24"/>
          <w:szCs w:val="24"/>
        </w:rPr>
        <w:t xml:space="preserve"> </w:t>
      </w:r>
      <w:proofErr w:type="spellStart"/>
      <w:r w:rsidR="005A6495" w:rsidRPr="005A6495">
        <w:rPr>
          <w:rFonts w:asciiTheme="majorBidi" w:hAnsiTheme="majorBidi" w:cstheme="majorBidi"/>
          <w:sz w:val="24"/>
          <w:szCs w:val="24"/>
        </w:rPr>
        <w:t>Clin</w:t>
      </w:r>
      <w:proofErr w:type="spellEnd"/>
      <w:r w:rsidR="005A6495" w:rsidRPr="005A6495">
        <w:rPr>
          <w:rFonts w:asciiTheme="majorBidi" w:hAnsiTheme="majorBidi" w:cstheme="majorBidi"/>
          <w:sz w:val="24"/>
          <w:szCs w:val="24"/>
        </w:rPr>
        <w:t xml:space="preserve"> Dent. 2018 Sep;9(</w:t>
      </w:r>
      <w:proofErr w:type="spellStart"/>
      <w:r w:rsidR="005A6495" w:rsidRPr="005A6495">
        <w:rPr>
          <w:rFonts w:asciiTheme="majorBidi" w:hAnsiTheme="majorBidi" w:cstheme="majorBidi"/>
          <w:sz w:val="24"/>
          <w:szCs w:val="24"/>
        </w:rPr>
        <w:t>Suppl</w:t>
      </w:r>
      <w:proofErr w:type="spellEnd"/>
      <w:r w:rsidR="005A6495" w:rsidRPr="005A6495">
        <w:rPr>
          <w:rFonts w:asciiTheme="majorBidi" w:hAnsiTheme="majorBidi" w:cstheme="majorBidi"/>
          <w:sz w:val="24"/>
          <w:szCs w:val="24"/>
        </w:rPr>
        <w:t xml:space="preserve"> 2):S325-S330.</w:t>
      </w:r>
    </w:p>
    <w:p w:rsidR="005A6495" w:rsidRPr="00E02551" w:rsidRDefault="005A6495" w:rsidP="005A6495">
      <w:pPr>
        <w:pStyle w:val="EndnoteText"/>
        <w:jc w:val="both"/>
        <w:rPr>
          <w:rFonts w:asciiTheme="majorBidi" w:hAnsiTheme="majorBidi" w:cstheme="majorBidi"/>
          <w:sz w:val="24"/>
          <w:szCs w:val="24"/>
        </w:rPr>
      </w:pPr>
    </w:p>
    <w:p w:rsidR="00970A14" w:rsidRPr="00E02551" w:rsidRDefault="00970A14" w:rsidP="005A6495">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[7] </w:t>
      </w:r>
      <w:proofErr w:type="spellStart"/>
      <w:r w:rsidR="005A6495" w:rsidRPr="005A6495">
        <w:rPr>
          <w:rFonts w:asciiTheme="majorBidi" w:hAnsiTheme="majorBidi" w:cstheme="majorBidi"/>
          <w:sz w:val="24"/>
          <w:szCs w:val="24"/>
        </w:rPr>
        <w:t>Thanasrisuebwong</w:t>
      </w:r>
      <w:proofErr w:type="spellEnd"/>
      <w:r w:rsidR="005A6495" w:rsidRPr="005A6495">
        <w:rPr>
          <w:rFonts w:asciiTheme="majorBidi" w:hAnsiTheme="majorBidi" w:cstheme="majorBidi"/>
          <w:sz w:val="24"/>
          <w:szCs w:val="24"/>
        </w:rPr>
        <w:t xml:space="preserve"> P, </w:t>
      </w:r>
      <w:proofErr w:type="spellStart"/>
      <w:r w:rsidR="005A6495" w:rsidRPr="005A6495">
        <w:rPr>
          <w:rFonts w:asciiTheme="majorBidi" w:hAnsiTheme="majorBidi" w:cstheme="majorBidi"/>
          <w:sz w:val="24"/>
          <w:szCs w:val="24"/>
        </w:rPr>
        <w:t>Kiattavorncharoen</w:t>
      </w:r>
      <w:proofErr w:type="spellEnd"/>
      <w:r w:rsidR="005A6495" w:rsidRPr="005A6495">
        <w:rPr>
          <w:rFonts w:asciiTheme="majorBidi" w:hAnsiTheme="majorBidi" w:cstheme="majorBidi"/>
          <w:sz w:val="24"/>
          <w:szCs w:val="24"/>
        </w:rPr>
        <w:t xml:space="preserve"> S, </w:t>
      </w:r>
      <w:proofErr w:type="spellStart"/>
      <w:r w:rsidR="005A6495" w:rsidRPr="005A6495">
        <w:rPr>
          <w:rFonts w:asciiTheme="majorBidi" w:hAnsiTheme="majorBidi" w:cstheme="majorBidi"/>
          <w:sz w:val="24"/>
          <w:szCs w:val="24"/>
        </w:rPr>
        <w:t>Surarit</w:t>
      </w:r>
      <w:proofErr w:type="spellEnd"/>
      <w:r w:rsidR="005A6495" w:rsidRPr="005A6495">
        <w:rPr>
          <w:rFonts w:asciiTheme="majorBidi" w:hAnsiTheme="majorBidi" w:cstheme="majorBidi"/>
          <w:sz w:val="24"/>
          <w:szCs w:val="24"/>
        </w:rPr>
        <w:t xml:space="preserve"> R, </w:t>
      </w:r>
      <w:proofErr w:type="spellStart"/>
      <w:r w:rsidR="005A6495" w:rsidRPr="005A6495">
        <w:rPr>
          <w:rFonts w:asciiTheme="majorBidi" w:hAnsiTheme="majorBidi" w:cstheme="majorBidi"/>
          <w:sz w:val="24"/>
          <w:szCs w:val="24"/>
        </w:rPr>
        <w:t>Phruksaniyom</w:t>
      </w:r>
      <w:proofErr w:type="spellEnd"/>
      <w:r w:rsidR="005A6495" w:rsidRPr="005A6495">
        <w:rPr>
          <w:rFonts w:asciiTheme="majorBidi" w:hAnsiTheme="majorBidi" w:cstheme="majorBidi"/>
          <w:sz w:val="24"/>
          <w:szCs w:val="24"/>
        </w:rPr>
        <w:t xml:space="preserve"> C, </w:t>
      </w:r>
      <w:proofErr w:type="spellStart"/>
      <w:r w:rsidR="005A6495" w:rsidRPr="005A6495">
        <w:rPr>
          <w:rFonts w:asciiTheme="majorBidi" w:hAnsiTheme="majorBidi" w:cstheme="majorBidi"/>
          <w:sz w:val="24"/>
          <w:szCs w:val="24"/>
        </w:rPr>
        <w:t>Ruangsawasdi</w:t>
      </w:r>
      <w:proofErr w:type="spellEnd"/>
      <w:r w:rsidR="005A6495" w:rsidRPr="005A6495">
        <w:rPr>
          <w:rFonts w:asciiTheme="majorBidi" w:hAnsiTheme="majorBidi" w:cstheme="majorBidi"/>
          <w:sz w:val="24"/>
          <w:szCs w:val="24"/>
        </w:rPr>
        <w:t xml:space="preserve"> N. Red and Yellow Injectable Platelet-Rich Fibrin Demonstrated Differential Effects on Periodontal Ligament Stem Cell Proliferation, Migration, and Osteogenic Differentiation. </w:t>
      </w:r>
      <w:proofErr w:type="spellStart"/>
      <w:r w:rsidR="005A6495" w:rsidRPr="005A6495">
        <w:rPr>
          <w:rFonts w:asciiTheme="majorBidi" w:hAnsiTheme="majorBidi" w:cstheme="majorBidi"/>
          <w:sz w:val="24"/>
          <w:szCs w:val="24"/>
        </w:rPr>
        <w:t>Int</w:t>
      </w:r>
      <w:proofErr w:type="spellEnd"/>
      <w:r w:rsidR="005A6495" w:rsidRPr="005A6495">
        <w:rPr>
          <w:rFonts w:asciiTheme="majorBidi" w:hAnsiTheme="majorBidi" w:cstheme="majorBidi"/>
          <w:sz w:val="24"/>
          <w:szCs w:val="24"/>
        </w:rPr>
        <w:t xml:space="preserve"> J </w:t>
      </w:r>
      <w:proofErr w:type="spellStart"/>
      <w:r w:rsidR="005A6495" w:rsidRPr="005A6495">
        <w:rPr>
          <w:rFonts w:asciiTheme="majorBidi" w:hAnsiTheme="majorBidi" w:cstheme="majorBidi"/>
          <w:sz w:val="24"/>
          <w:szCs w:val="24"/>
        </w:rPr>
        <w:t>Mol</w:t>
      </w:r>
      <w:proofErr w:type="spellEnd"/>
      <w:r w:rsidR="005A6495" w:rsidRPr="005A6495">
        <w:rPr>
          <w:rFonts w:asciiTheme="majorBidi" w:hAnsiTheme="majorBidi" w:cstheme="majorBidi"/>
          <w:sz w:val="24"/>
          <w:szCs w:val="24"/>
        </w:rPr>
        <w:t xml:space="preserve"> Sci. 2020 Jul 21;21(14):5153. </w:t>
      </w:r>
    </w:p>
    <w:p w:rsidR="00970A14" w:rsidRPr="00E02551" w:rsidRDefault="00970A14" w:rsidP="001D5206">
      <w:pPr>
        <w:pStyle w:val="EndnoteText"/>
        <w:jc w:val="both"/>
        <w:rPr>
          <w:rFonts w:asciiTheme="majorBidi" w:hAnsiTheme="majorBidi" w:cstheme="majorBidi"/>
          <w:sz w:val="24"/>
          <w:szCs w:val="24"/>
        </w:rPr>
      </w:pPr>
    </w:p>
    <w:p w:rsidR="00DE2B74" w:rsidRDefault="00970A14" w:rsidP="00DE2B74">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 xml:space="preserve">[8] </w:t>
      </w:r>
      <w:r w:rsidR="00DE2B74" w:rsidRPr="00DE2B74">
        <w:rPr>
          <w:rFonts w:asciiTheme="majorBidi" w:hAnsiTheme="majorBidi" w:cstheme="majorBidi"/>
          <w:sz w:val="24"/>
          <w:szCs w:val="24"/>
        </w:rPr>
        <w:t xml:space="preserve">Xu Y, </w:t>
      </w:r>
      <w:proofErr w:type="spellStart"/>
      <w:r w:rsidR="00DE2B74" w:rsidRPr="00DE2B74">
        <w:rPr>
          <w:rFonts w:asciiTheme="majorBidi" w:hAnsiTheme="majorBidi" w:cstheme="majorBidi"/>
          <w:sz w:val="24"/>
          <w:szCs w:val="24"/>
        </w:rPr>
        <w:t>Höfling</w:t>
      </w:r>
      <w:proofErr w:type="spellEnd"/>
      <w:r w:rsidR="00DE2B74" w:rsidRPr="00DE2B74">
        <w:rPr>
          <w:rFonts w:asciiTheme="majorBidi" w:hAnsiTheme="majorBidi" w:cstheme="majorBidi"/>
          <w:sz w:val="24"/>
          <w:szCs w:val="24"/>
        </w:rPr>
        <w:t xml:space="preserve"> K, </w:t>
      </w:r>
      <w:proofErr w:type="spellStart"/>
      <w:r w:rsidR="00DE2B74" w:rsidRPr="00DE2B74">
        <w:rPr>
          <w:rFonts w:asciiTheme="majorBidi" w:hAnsiTheme="majorBidi" w:cstheme="majorBidi"/>
          <w:sz w:val="24"/>
          <w:szCs w:val="24"/>
        </w:rPr>
        <w:t>Fimmers</w:t>
      </w:r>
      <w:proofErr w:type="spellEnd"/>
      <w:r w:rsidR="00DE2B74" w:rsidRPr="00DE2B74">
        <w:rPr>
          <w:rFonts w:asciiTheme="majorBidi" w:hAnsiTheme="majorBidi" w:cstheme="majorBidi"/>
          <w:sz w:val="24"/>
          <w:szCs w:val="24"/>
        </w:rPr>
        <w:t xml:space="preserve"> R, </w:t>
      </w:r>
      <w:proofErr w:type="spellStart"/>
      <w:r w:rsidR="00DE2B74" w:rsidRPr="00DE2B74">
        <w:rPr>
          <w:rFonts w:asciiTheme="majorBidi" w:hAnsiTheme="majorBidi" w:cstheme="majorBidi"/>
          <w:sz w:val="24"/>
          <w:szCs w:val="24"/>
        </w:rPr>
        <w:t>Frentzen</w:t>
      </w:r>
      <w:proofErr w:type="spellEnd"/>
      <w:r w:rsidR="00DE2B74" w:rsidRPr="00DE2B74">
        <w:rPr>
          <w:rFonts w:asciiTheme="majorBidi" w:hAnsiTheme="majorBidi" w:cstheme="majorBidi"/>
          <w:sz w:val="24"/>
          <w:szCs w:val="24"/>
        </w:rPr>
        <w:t xml:space="preserve"> M, </w:t>
      </w:r>
      <w:proofErr w:type="spellStart"/>
      <w:r w:rsidR="00DE2B74" w:rsidRPr="00DE2B74">
        <w:rPr>
          <w:rFonts w:asciiTheme="majorBidi" w:hAnsiTheme="majorBidi" w:cstheme="majorBidi"/>
          <w:sz w:val="24"/>
          <w:szCs w:val="24"/>
        </w:rPr>
        <w:t>Jervøe</w:t>
      </w:r>
      <w:proofErr w:type="spellEnd"/>
      <w:r w:rsidR="00DE2B74" w:rsidRPr="00DE2B74">
        <w:rPr>
          <w:rFonts w:asciiTheme="majorBidi" w:hAnsiTheme="majorBidi" w:cstheme="majorBidi"/>
          <w:sz w:val="24"/>
          <w:szCs w:val="24"/>
        </w:rPr>
        <w:t xml:space="preserve">-Storm PM. Clinical and microbiological effects of topical subgingival application of hyaluronic acid gel adjunctive to scaling and root planing in the treatment of chronic periodontitis. J </w:t>
      </w:r>
      <w:proofErr w:type="spellStart"/>
      <w:r w:rsidR="00DE2B74" w:rsidRPr="00DE2B74">
        <w:rPr>
          <w:rFonts w:asciiTheme="majorBidi" w:hAnsiTheme="majorBidi" w:cstheme="majorBidi"/>
          <w:sz w:val="24"/>
          <w:szCs w:val="24"/>
        </w:rPr>
        <w:t>Periodontol</w:t>
      </w:r>
      <w:proofErr w:type="spellEnd"/>
      <w:r w:rsidR="00DE2B74" w:rsidRPr="00DE2B74">
        <w:rPr>
          <w:rFonts w:asciiTheme="majorBidi" w:hAnsiTheme="majorBidi" w:cstheme="majorBidi"/>
          <w:sz w:val="24"/>
          <w:szCs w:val="24"/>
        </w:rPr>
        <w:t>. 2004 Aug;75(8):1114-8. </w:t>
      </w:r>
      <w:r w:rsidR="00DE2B74" w:rsidRPr="00E02551">
        <w:rPr>
          <w:rFonts w:asciiTheme="majorBidi" w:hAnsiTheme="majorBidi" w:cstheme="majorBidi"/>
          <w:sz w:val="24"/>
          <w:szCs w:val="24"/>
        </w:rPr>
        <w:t xml:space="preserve"> </w:t>
      </w:r>
    </w:p>
    <w:p w:rsidR="00DE2B74" w:rsidRDefault="00970A14" w:rsidP="00DE2B74">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 xml:space="preserve">[9] </w:t>
      </w:r>
      <w:proofErr w:type="spellStart"/>
      <w:r w:rsidR="00DE2B74" w:rsidRPr="00DE2B74">
        <w:rPr>
          <w:rFonts w:asciiTheme="majorBidi" w:hAnsiTheme="majorBidi" w:cstheme="majorBidi"/>
          <w:sz w:val="24"/>
          <w:szCs w:val="24"/>
        </w:rPr>
        <w:t>Gontiya</w:t>
      </w:r>
      <w:proofErr w:type="spellEnd"/>
      <w:r w:rsidR="00DE2B74" w:rsidRPr="00DE2B74">
        <w:rPr>
          <w:rFonts w:asciiTheme="majorBidi" w:hAnsiTheme="majorBidi" w:cstheme="majorBidi"/>
          <w:sz w:val="24"/>
          <w:szCs w:val="24"/>
        </w:rPr>
        <w:t xml:space="preserve"> G, </w:t>
      </w:r>
      <w:proofErr w:type="spellStart"/>
      <w:r w:rsidR="00DE2B74" w:rsidRPr="00DE2B74">
        <w:rPr>
          <w:rFonts w:asciiTheme="majorBidi" w:hAnsiTheme="majorBidi" w:cstheme="majorBidi"/>
          <w:sz w:val="24"/>
          <w:szCs w:val="24"/>
        </w:rPr>
        <w:t>Galgali</w:t>
      </w:r>
      <w:proofErr w:type="spellEnd"/>
      <w:r w:rsidR="00DE2B74" w:rsidRPr="00DE2B74">
        <w:rPr>
          <w:rFonts w:asciiTheme="majorBidi" w:hAnsiTheme="majorBidi" w:cstheme="majorBidi"/>
          <w:sz w:val="24"/>
          <w:szCs w:val="24"/>
        </w:rPr>
        <w:t xml:space="preserve"> SR. Effect of hyaluronan on periodontitis: A clinical and histological study. J Indian </w:t>
      </w:r>
      <w:proofErr w:type="spellStart"/>
      <w:r w:rsidR="00DE2B74" w:rsidRPr="00DE2B74">
        <w:rPr>
          <w:rFonts w:asciiTheme="majorBidi" w:hAnsiTheme="majorBidi" w:cstheme="majorBidi"/>
          <w:sz w:val="24"/>
          <w:szCs w:val="24"/>
        </w:rPr>
        <w:t>Soc</w:t>
      </w:r>
      <w:proofErr w:type="spellEnd"/>
      <w:r w:rsidR="00DE2B74" w:rsidRPr="00DE2B74">
        <w:rPr>
          <w:rFonts w:asciiTheme="majorBidi" w:hAnsiTheme="majorBidi" w:cstheme="majorBidi"/>
          <w:sz w:val="24"/>
          <w:szCs w:val="24"/>
        </w:rPr>
        <w:t xml:space="preserve"> </w:t>
      </w:r>
      <w:proofErr w:type="spellStart"/>
      <w:r w:rsidR="00DE2B74" w:rsidRPr="00DE2B74">
        <w:rPr>
          <w:rFonts w:asciiTheme="majorBidi" w:hAnsiTheme="majorBidi" w:cstheme="majorBidi"/>
          <w:sz w:val="24"/>
          <w:szCs w:val="24"/>
        </w:rPr>
        <w:t>Periodontol</w:t>
      </w:r>
      <w:proofErr w:type="spellEnd"/>
      <w:r w:rsidR="00DE2B74" w:rsidRPr="00DE2B74">
        <w:rPr>
          <w:rFonts w:asciiTheme="majorBidi" w:hAnsiTheme="majorBidi" w:cstheme="majorBidi"/>
          <w:sz w:val="24"/>
          <w:szCs w:val="24"/>
        </w:rPr>
        <w:t xml:space="preserve">. 2012 Apr;16(2):184-92. </w:t>
      </w:r>
    </w:p>
    <w:p w:rsidR="00DE2B74" w:rsidRDefault="00970A14" w:rsidP="00DE2B74">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[10</w:t>
      </w:r>
      <w:r w:rsidR="00DE2B74">
        <w:rPr>
          <w:rFonts w:asciiTheme="majorBidi" w:hAnsiTheme="majorBidi" w:cstheme="majorBidi"/>
          <w:sz w:val="24"/>
          <w:szCs w:val="24"/>
        </w:rPr>
        <w:t xml:space="preserve">] </w:t>
      </w:r>
      <w:proofErr w:type="spellStart"/>
      <w:r w:rsidR="00DE2B74" w:rsidRPr="00DE2B74">
        <w:rPr>
          <w:rFonts w:asciiTheme="majorBidi" w:hAnsiTheme="majorBidi" w:cstheme="majorBidi"/>
          <w:sz w:val="24"/>
          <w:szCs w:val="24"/>
        </w:rPr>
        <w:t>Aydinyurt</w:t>
      </w:r>
      <w:proofErr w:type="spellEnd"/>
      <w:r w:rsidR="00DE2B74" w:rsidRPr="00DE2B74">
        <w:rPr>
          <w:rFonts w:asciiTheme="majorBidi" w:hAnsiTheme="majorBidi" w:cstheme="majorBidi"/>
          <w:sz w:val="24"/>
          <w:szCs w:val="24"/>
        </w:rPr>
        <w:t xml:space="preserve"> HS, </w:t>
      </w:r>
      <w:proofErr w:type="spellStart"/>
      <w:r w:rsidR="00DE2B74" w:rsidRPr="00DE2B74">
        <w:rPr>
          <w:rFonts w:asciiTheme="majorBidi" w:hAnsiTheme="majorBidi" w:cstheme="majorBidi"/>
          <w:sz w:val="24"/>
          <w:szCs w:val="24"/>
        </w:rPr>
        <w:t>Akbal</w:t>
      </w:r>
      <w:proofErr w:type="spellEnd"/>
      <w:r w:rsidR="00DE2B74" w:rsidRPr="00DE2B74">
        <w:rPr>
          <w:rFonts w:asciiTheme="majorBidi" w:hAnsiTheme="majorBidi" w:cstheme="majorBidi"/>
          <w:sz w:val="24"/>
          <w:szCs w:val="24"/>
        </w:rPr>
        <w:t xml:space="preserve"> D, </w:t>
      </w:r>
      <w:proofErr w:type="spellStart"/>
      <w:r w:rsidR="00DE2B74" w:rsidRPr="00DE2B74">
        <w:rPr>
          <w:rFonts w:asciiTheme="majorBidi" w:hAnsiTheme="majorBidi" w:cstheme="majorBidi"/>
          <w:sz w:val="24"/>
          <w:szCs w:val="24"/>
        </w:rPr>
        <w:t>Altindal</w:t>
      </w:r>
      <w:proofErr w:type="spellEnd"/>
      <w:r w:rsidR="00DE2B74" w:rsidRPr="00DE2B74">
        <w:rPr>
          <w:rFonts w:asciiTheme="majorBidi" w:hAnsiTheme="majorBidi" w:cstheme="majorBidi"/>
          <w:sz w:val="24"/>
          <w:szCs w:val="24"/>
        </w:rPr>
        <w:t xml:space="preserve"> D, </w:t>
      </w:r>
      <w:proofErr w:type="spellStart"/>
      <w:r w:rsidR="00DE2B74" w:rsidRPr="00DE2B74">
        <w:rPr>
          <w:rFonts w:asciiTheme="majorBidi" w:hAnsiTheme="majorBidi" w:cstheme="majorBidi"/>
          <w:sz w:val="24"/>
          <w:szCs w:val="24"/>
        </w:rPr>
        <w:t>Bozoglan</w:t>
      </w:r>
      <w:proofErr w:type="spellEnd"/>
      <w:r w:rsidR="00DE2B74" w:rsidRPr="00DE2B74">
        <w:rPr>
          <w:rFonts w:asciiTheme="majorBidi" w:hAnsiTheme="majorBidi" w:cstheme="majorBidi"/>
          <w:sz w:val="24"/>
          <w:szCs w:val="24"/>
        </w:rPr>
        <w:t xml:space="preserve"> A, </w:t>
      </w:r>
      <w:proofErr w:type="spellStart"/>
      <w:r w:rsidR="00DE2B74" w:rsidRPr="00DE2B74">
        <w:rPr>
          <w:rFonts w:asciiTheme="majorBidi" w:hAnsiTheme="majorBidi" w:cstheme="majorBidi"/>
          <w:sz w:val="24"/>
          <w:szCs w:val="24"/>
        </w:rPr>
        <w:t>Ertugrul</w:t>
      </w:r>
      <w:proofErr w:type="spellEnd"/>
      <w:r w:rsidR="00DE2B74" w:rsidRPr="00DE2B74">
        <w:rPr>
          <w:rFonts w:asciiTheme="majorBidi" w:hAnsiTheme="majorBidi" w:cstheme="majorBidi"/>
          <w:sz w:val="24"/>
          <w:szCs w:val="24"/>
        </w:rPr>
        <w:t xml:space="preserve"> AS, </w:t>
      </w:r>
      <w:proofErr w:type="spellStart"/>
      <w:r w:rsidR="00DE2B74" w:rsidRPr="00DE2B74">
        <w:rPr>
          <w:rFonts w:asciiTheme="majorBidi" w:hAnsiTheme="majorBidi" w:cstheme="majorBidi"/>
          <w:sz w:val="24"/>
          <w:szCs w:val="24"/>
        </w:rPr>
        <w:t>Demir</w:t>
      </w:r>
      <w:proofErr w:type="spellEnd"/>
      <w:r w:rsidR="00DE2B74" w:rsidRPr="00DE2B74">
        <w:rPr>
          <w:rFonts w:asciiTheme="majorBidi" w:hAnsiTheme="majorBidi" w:cstheme="majorBidi"/>
          <w:sz w:val="24"/>
          <w:szCs w:val="24"/>
        </w:rPr>
        <w:t xml:space="preserve"> H. Evaluation of biochemical and clinical effects of hyaluronic acid on non-surgical periodontal treatment: a randomized controlled trial. </w:t>
      </w:r>
      <w:proofErr w:type="spellStart"/>
      <w:r w:rsidR="00DE2B74" w:rsidRPr="00DE2B74">
        <w:rPr>
          <w:rFonts w:asciiTheme="majorBidi" w:hAnsiTheme="majorBidi" w:cstheme="majorBidi"/>
          <w:sz w:val="24"/>
          <w:szCs w:val="24"/>
        </w:rPr>
        <w:t>Ir</w:t>
      </w:r>
      <w:proofErr w:type="spellEnd"/>
      <w:r w:rsidR="00DE2B74" w:rsidRPr="00DE2B74">
        <w:rPr>
          <w:rFonts w:asciiTheme="majorBidi" w:hAnsiTheme="majorBidi" w:cstheme="majorBidi"/>
          <w:sz w:val="24"/>
          <w:szCs w:val="24"/>
        </w:rPr>
        <w:t xml:space="preserve"> J Med Sci. 2020 Nov;189(4):1485-1494.</w:t>
      </w:r>
    </w:p>
    <w:p w:rsidR="00DE2B74" w:rsidRDefault="00DE2B74" w:rsidP="00DE2B74">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lastRenderedPageBreak/>
        <w:t xml:space="preserve"> </w:t>
      </w:r>
      <w:r w:rsidR="00970A14" w:rsidRPr="00E02551">
        <w:rPr>
          <w:rFonts w:asciiTheme="majorBidi" w:hAnsiTheme="majorBidi" w:cstheme="majorBidi"/>
          <w:sz w:val="24"/>
          <w:szCs w:val="24"/>
        </w:rPr>
        <w:t xml:space="preserve">[11] </w:t>
      </w:r>
      <w:proofErr w:type="spellStart"/>
      <w:r w:rsidRPr="00DE2B74">
        <w:rPr>
          <w:rFonts w:asciiTheme="majorBidi" w:hAnsiTheme="majorBidi" w:cstheme="majorBidi"/>
          <w:sz w:val="24"/>
          <w:szCs w:val="24"/>
        </w:rPr>
        <w:t>Vanden</w:t>
      </w:r>
      <w:proofErr w:type="spellEnd"/>
      <w:r w:rsidRPr="00DE2B74">
        <w:rPr>
          <w:rFonts w:asciiTheme="majorBidi" w:hAnsiTheme="majorBidi" w:cstheme="majorBidi"/>
          <w:sz w:val="24"/>
          <w:szCs w:val="24"/>
        </w:rPr>
        <w:t xml:space="preserve"> </w:t>
      </w:r>
      <w:proofErr w:type="spellStart"/>
      <w:r w:rsidRPr="00DE2B74">
        <w:rPr>
          <w:rFonts w:asciiTheme="majorBidi" w:hAnsiTheme="majorBidi" w:cstheme="majorBidi"/>
          <w:sz w:val="24"/>
          <w:szCs w:val="24"/>
        </w:rPr>
        <w:t>Bogaerde</w:t>
      </w:r>
      <w:proofErr w:type="spellEnd"/>
      <w:r w:rsidRPr="00DE2B74">
        <w:rPr>
          <w:rFonts w:asciiTheme="majorBidi" w:hAnsiTheme="majorBidi" w:cstheme="majorBidi"/>
          <w:sz w:val="24"/>
          <w:szCs w:val="24"/>
        </w:rPr>
        <w:t xml:space="preserve"> L. Treatment of infrabony periodontal defects with esterified hyaluronic acid: clinical report of 19 consecutive lesions. </w:t>
      </w:r>
      <w:proofErr w:type="spellStart"/>
      <w:r w:rsidRPr="00DE2B74">
        <w:rPr>
          <w:rFonts w:asciiTheme="majorBidi" w:hAnsiTheme="majorBidi" w:cstheme="majorBidi"/>
          <w:sz w:val="24"/>
          <w:szCs w:val="24"/>
        </w:rPr>
        <w:t>Int</w:t>
      </w:r>
      <w:proofErr w:type="spellEnd"/>
      <w:r w:rsidRPr="00DE2B74">
        <w:rPr>
          <w:rFonts w:asciiTheme="majorBidi" w:hAnsiTheme="majorBidi" w:cstheme="majorBidi"/>
          <w:sz w:val="24"/>
          <w:szCs w:val="24"/>
        </w:rPr>
        <w:t xml:space="preserve"> J Periodontics Restorative Dent. 2009 Jun;29(3):315-23.</w:t>
      </w:r>
      <w:r w:rsidRPr="00E02551">
        <w:rPr>
          <w:rFonts w:asciiTheme="majorBidi" w:hAnsiTheme="majorBidi" w:cstheme="majorBidi"/>
          <w:sz w:val="24"/>
          <w:szCs w:val="24"/>
        </w:rPr>
        <w:t xml:space="preserve"> </w:t>
      </w:r>
    </w:p>
    <w:p w:rsidR="00970A14" w:rsidRPr="00E02551" w:rsidRDefault="00970A14" w:rsidP="00DE2B74">
      <w:pPr>
        <w:spacing w:line="240" w:lineRule="auto"/>
        <w:jc w:val="both"/>
        <w:rPr>
          <w:rFonts w:asciiTheme="majorBidi" w:hAnsiTheme="majorBidi" w:cstheme="majorBidi"/>
          <w:sz w:val="24"/>
          <w:szCs w:val="24"/>
        </w:rPr>
      </w:pPr>
      <w:r w:rsidRPr="00E02551">
        <w:rPr>
          <w:rFonts w:asciiTheme="majorBidi" w:hAnsiTheme="majorBidi" w:cstheme="majorBidi"/>
          <w:sz w:val="24"/>
          <w:szCs w:val="24"/>
        </w:rPr>
        <w:t xml:space="preserve">[12] </w:t>
      </w:r>
      <w:proofErr w:type="spellStart"/>
      <w:r w:rsidR="00DE2B74" w:rsidRPr="00DE2B74">
        <w:rPr>
          <w:rFonts w:asciiTheme="majorBidi" w:hAnsiTheme="majorBidi" w:cstheme="majorBidi"/>
          <w:sz w:val="24"/>
          <w:szCs w:val="24"/>
        </w:rPr>
        <w:t>Johannsen</w:t>
      </w:r>
      <w:proofErr w:type="spellEnd"/>
      <w:r w:rsidR="00DE2B74" w:rsidRPr="00DE2B74">
        <w:rPr>
          <w:rFonts w:asciiTheme="majorBidi" w:hAnsiTheme="majorBidi" w:cstheme="majorBidi"/>
          <w:sz w:val="24"/>
          <w:szCs w:val="24"/>
        </w:rPr>
        <w:t xml:space="preserve"> A, </w:t>
      </w:r>
      <w:proofErr w:type="spellStart"/>
      <w:r w:rsidR="00DE2B74" w:rsidRPr="00DE2B74">
        <w:rPr>
          <w:rFonts w:asciiTheme="majorBidi" w:hAnsiTheme="majorBidi" w:cstheme="majorBidi"/>
          <w:sz w:val="24"/>
          <w:szCs w:val="24"/>
        </w:rPr>
        <w:t>Tellefsen</w:t>
      </w:r>
      <w:proofErr w:type="spellEnd"/>
      <w:r w:rsidR="00DE2B74" w:rsidRPr="00DE2B74">
        <w:rPr>
          <w:rFonts w:asciiTheme="majorBidi" w:hAnsiTheme="majorBidi" w:cstheme="majorBidi"/>
          <w:sz w:val="24"/>
          <w:szCs w:val="24"/>
        </w:rPr>
        <w:t xml:space="preserve"> M, </w:t>
      </w:r>
      <w:proofErr w:type="spellStart"/>
      <w:r w:rsidR="00DE2B74" w:rsidRPr="00DE2B74">
        <w:rPr>
          <w:rFonts w:asciiTheme="majorBidi" w:hAnsiTheme="majorBidi" w:cstheme="majorBidi"/>
          <w:sz w:val="24"/>
          <w:szCs w:val="24"/>
        </w:rPr>
        <w:t>Wikesjö</w:t>
      </w:r>
      <w:proofErr w:type="spellEnd"/>
      <w:r w:rsidR="00DE2B74" w:rsidRPr="00DE2B74">
        <w:rPr>
          <w:rFonts w:asciiTheme="majorBidi" w:hAnsiTheme="majorBidi" w:cstheme="majorBidi"/>
          <w:sz w:val="24"/>
          <w:szCs w:val="24"/>
        </w:rPr>
        <w:t xml:space="preserve"> U, </w:t>
      </w:r>
      <w:proofErr w:type="spellStart"/>
      <w:r w:rsidR="00DE2B74" w:rsidRPr="00DE2B74">
        <w:rPr>
          <w:rFonts w:asciiTheme="majorBidi" w:hAnsiTheme="majorBidi" w:cstheme="majorBidi"/>
          <w:sz w:val="24"/>
          <w:szCs w:val="24"/>
        </w:rPr>
        <w:t>Johannsen</w:t>
      </w:r>
      <w:proofErr w:type="spellEnd"/>
      <w:r w:rsidR="00DE2B74" w:rsidRPr="00DE2B74">
        <w:rPr>
          <w:rFonts w:asciiTheme="majorBidi" w:hAnsiTheme="majorBidi" w:cstheme="majorBidi"/>
          <w:sz w:val="24"/>
          <w:szCs w:val="24"/>
        </w:rPr>
        <w:t xml:space="preserve"> G. Local delivery of hyaluronan as an adjunct to scaling and root planing in the treatment of chronic periodontitis. J </w:t>
      </w:r>
      <w:proofErr w:type="spellStart"/>
      <w:r w:rsidR="00DE2B74" w:rsidRPr="00DE2B74">
        <w:rPr>
          <w:rFonts w:asciiTheme="majorBidi" w:hAnsiTheme="majorBidi" w:cstheme="majorBidi"/>
          <w:sz w:val="24"/>
          <w:szCs w:val="24"/>
        </w:rPr>
        <w:t>Periodontol</w:t>
      </w:r>
      <w:proofErr w:type="spellEnd"/>
      <w:r w:rsidR="00DE2B74" w:rsidRPr="00DE2B74">
        <w:rPr>
          <w:rFonts w:asciiTheme="majorBidi" w:hAnsiTheme="majorBidi" w:cstheme="majorBidi"/>
          <w:sz w:val="24"/>
          <w:szCs w:val="24"/>
        </w:rPr>
        <w:t>. 2009 Sep;80(9):1493-7. </w:t>
      </w:r>
    </w:p>
    <w:p w:rsidR="00970A14" w:rsidRPr="00E02551" w:rsidRDefault="00970A14" w:rsidP="001D5206">
      <w:pPr>
        <w:pStyle w:val="EndnoteText"/>
        <w:jc w:val="both"/>
        <w:rPr>
          <w:rFonts w:asciiTheme="majorBidi" w:hAnsiTheme="majorBidi" w:cstheme="majorBidi"/>
          <w:sz w:val="24"/>
          <w:szCs w:val="24"/>
        </w:rPr>
      </w:pPr>
    </w:p>
    <w:p w:rsidR="00970A14" w:rsidRPr="00EB479C" w:rsidRDefault="00970A14" w:rsidP="00EB479C">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[13] </w:t>
      </w:r>
      <w:proofErr w:type="spellStart"/>
      <w:r w:rsidR="00EB479C" w:rsidRPr="00EB479C">
        <w:rPr>
          <w:rFonts w:asciiTheme="majorBidi" w:hAnsiTheme="majorBidi" w:cstheme="majorBidi"/>
          <w:sz w:val="24"/>
          <w:szCs w:val="24"/>
        </w:rPr>
        <w:t>Pilloni</w:t>
      </w:r>
      <w:proofErr w:type="spellEnd"/>
      <w:r w:rsidR="00EB479C" w:rsidRPr="00EB479C">
        <w:rPr>
          <w:rFonts w:asciiTheme="majorBidi" w:hAnsiTheme="majorBidi" w:cstheme="majorBidi"/>
          <w:sz w:val="24"/>
          <w:szCs w:val="24"/>
        </w:rPr>
        <w:t xml:space="preserve"> A, </w:t>
      </w:r>
      <w:proofErr w:type="spellStart"/>
      <w:r w:rsidR="00EB479C" w:rsidRPr="00EB479C">
        <w:rPr>
          <w:rFonts w:asciiTheme="majorBidi" w:hAnsiTheme="majorBidi" w:cstheme="majorBidi"/>
          <w:sz w:val="24"/>
          <w:szCs w:val="24"/>
        </w:rPr>
        <w:t>Annibali</w:t>
      </w:r>
      <w:proofErr w:type="spellEnd"/>
      <w:r w:rsidR="00EB479C" w:rsidRPr="00EB479C">
        <w:rPr>
          <w:rFonts w:asciiTheme="majorBidi" w:hAnsiTheme="majorBidi" w:cstheme="majorBidi"/>
          <w:sz w:val="24"/>
          <w:szCs w:val="24"/>
        </w:rPr>
        <w:t xml:space="preserve"> S, </w:t>
      </w:r>
      <w:proofErr w:type="spellStart"/>
      <w:r w:rsidR="00EB479C" w:rsidRPr="00EB479C">
        <w:rPr>
          <w:rFonts w:asciiTheme="majorBidi" w:hAnsiTheme="majorBidi" w:cstheme="majorBidi"/>
          <w:sz w:val="24"/>
          <w:szCs w:val="24"/>
        </w:rPr>
        <w:t>Dominici</w:t>
      </w:r>
      <w:proofErr w:type="spellEnd"/>
      <w:r w:rsidR="00EB479C" w:rsidRPr="00EB479C">
        <w:rPr>
          <w:rFonts w:asciiTheme="majorBidi" w:hAnsiTheme="majorBidi" w:cstheme="majorBidi"/>
          <w:sz w:val="24"/>
          <w:szCs w:val="24"/>
        </w:rPr>
        <w:t xml:space="preserve"> F, Di Paolo C, Papa M, Cassini MA, </w:t>
      </w:r>
      <w:proofErr w:type="spellStart"/>
      <w:r w:rsidR="00EB479C" w:rsidRPr="00EB479C">
        <w:rPr>
          <w:rFonts w:asciiTheme="majorBidi" w:hAnsiTheme="majorBidi" w:cstheme="majorBidi"/>
          <w:sz w:val="24"/>
          <w:szCs w:val="24"/>
        </w:rPr>
        <w:t>Polimeni</w:t>
      </w:r>
      <w:proofErr w:type="spellEnd"/>
      <w:r w:rsidR="00EB479C" w:rsidRPr="00EB479C">
        <w:rPr>
          <w:rFonts w:asciiTheme="majorBidi" w:hAnsiTheme="majorBidi" w:cstheme="majorBidi"/>
          <w:sz w:val="24"/>
          <w:szCs w:val="24"/>
        </w:rPr>
        <w:t xml:space="preserve"> A. Evaluation of the efficacy of an hyaluronic acid-based </w:t>
      </w:r>
      <w:proofErr w:type="spellStart"/>
      <w:r w:rsidR="00EB479C" w:rsidRPr="00EB479C">
        <w:rPr>
          <w:rFonts w:asciiTheme="majorBidi" w:hAnsiTheme="majorBidi" w:cstheme="majorBidi"/>
          <w:sz w:val="24"/>
          <w:szCs w:val="24"/>
        </w:rPr>
        <w:t>biogel</w:t>
      </w:r>
      <w:proofErr w:type="spellEnd"/>
      <w:r w:rsidR="00EB479C" w:rsidRPr="00EB479C">
        <w:rPr>
          <w:rFonts w:asciiTheme="majorBidi" w:hAnsiTheme="majorBidi" w:cstheme="majorBidi"/>
          <w:sz w:val="24"/>
          <w:szCs w:val="24"/>
        </w:rPr>
        <w:t xml:space="preserve"> on periodontal clinical parameters. A randomized-controlled clinical pilot study. Ann </w:t>
      </w:r>
      <w:proofErr w:type="spellStart"/>
      <w:r w:rsidR="00EB479C" w:rsidRPr="00EB479C">
        <w:rPr>
          <w:rFonts w:asciiTheme="majorBidi" w:hAnsiTheme="majorBidi" w:cstheme="majorBidi"/>
          <w:sz w:val="24"/>
          <w:szCs w:val="24"/>
        </w:rPr>
        <w:t>Stomatol</w:t>
      </w:r>
      <w:proofErr w:type="spellEnd"/>
      <w:r w:rsidR="00EB479C" w:rsidRPr="00EB479C">
        <w:rPr>
          <w:rFonts w:asciiTheme="majorBidi" w:hAnsiTheme="majorBidi" w:cstheme="majorBidi"/>
          <w:sz w:val="24"/>
          <w:szCs w:val="24"/>
        </w:rPr>
        <w:t xml:space="preserve"> (Roma). 2011 Mar;2(3-4):3-9</w:t>
      </w:r>
      <w:r w:rsidR="00EB479C">
        <w:rPr>
          <w:rFonts w:asciiTheme="majorBidi" w:hAnsiTheme="majorBidi" w:cstheme="majorBidi"/>
          <w:sz w:val="24"/>
          <w:szCs w:val="24"/>
        </w:rPr>
        <w:t>.</w:t>
      </w:r>
    </w:p>
    <w:p w:rsidR="00EB479C" w:rsidRPr="00E02551" w:rsidRDefault="00EB479C" w:rsidP="00EB479C">
      <w:pPr>
        <w:pStyle w:val="EndnoteText"/>
        <w:jc w:val="both"/>
        <w:rPr>
          <w:rFonts w:asciiTheme="majorBidi" w:hAnsiTheme="majorBidi" w:cstheme="majorBidi"/>
          <w:sz w:val="24"/>
          <w:szCs w:val="24"/>
        </w:rPr>
      </w:pPr>
    </w:p>
    <w:p w:rsidR="00970A14" w:rsidRPr="00EB479C" w:rsidRDefault="00970A14" w:rsidP="00EB479C">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[14] </w:t>
      </w:r>
      <w:proofErr w:type="spellStart"/>
      <w:r w:rsidR="00EB479C" w:rsidRPr="00EB479C">
        <w:rPr>
          <w:rFonts w:asciiTheme="majorBidi" w:hAnsiTheme="majorBidi" w:cstheme="majorBidi"/>
          <w:sz w:val="24"/>
          <w:szCs w:val="24"/>
        </w:rPr>
        <w:t>Karakostas</w:t>
      </w:r>
      <w:proofErr w:type="spellEnd"/>
      <w:r w:rsidR="00EB479C" w:rsidRPr="00EB479C">
        <w:rPr>
          <w:rFonts w:asciiTheme="majorBidi" w:hAnsiTheme="majorBidi" w:cstheme="majorBidi"/>
          <w:sz w:val="24"/>
          <w:szCs w:val="24"/>
        </w:rPr>
        <w:t xml:space="preserve"> P, </w:t>
      </w:r>
      <w:proofErr w:type="spellStart"/>
      <w:r w:rsidR="00EB479C" w:rsidRPr="00EB479C">
        <w:rPr>
          <w:rFonts w:asciiTheme="majorBidi" w:hAnsiTheme="majorBidi" w:cstheme="majorBidi"/>
          <w:sz w:val="24"/>
          <w:szCs w:val="24"/>
        </w:rPr>
        <w:t>Davidopoulou</w:t>
      </w:r>
      <w:proofErr w:type="spellEnd"/>
      <w:r w:rsidR="00EB479C" w:rsidRPr="00EB479C">
        <w:rPr>
          <w:rFonts w:asciiTheme="majorBidi" w:hAnsiTheme="majorBidi" w:cstheme="majorBidi"/>
          <w:sz w:val="24"/>
          <w:szCs w:val="24"/>
        </w:rPr>
        <w:t xml:space="preserve"> S, </w:t>
      </w:r>
      <w:proofErr w:type="spellStart"/>
      <w:r w:rsidR="00EB479C" w:rsidRPr="00EB479C">
        <w:rPr>
          <w:rFonts w:asciiTheme="majorBidi" w:hAnsiTheme="majorBidi" w:cstheme="majorBidi"/>
          <w:sz w:val="24"/>
          <w:szCs w:val="24"/>
        </w:rPr>
        <w:t>Kalfas</w:t>
      </w:r>
      <w:proofErr w:type="spellEnd"/>
      <w:r w:rsidR="00EB479C" w:rsidRPr="00EB479C">
        <w:rPr>
          <w:rFonts w:asciiTheme="majorBidi" w:hAnsiTheme="majorBidi" w:cstheme="majorBidi"/>
          <w:sz w:val="24"/>
          <w:szCs w:val="24"/>
        </w:rPr>
        <w:t xml:space="preserve"> S. Use of Hyaluronic Acid in Periodontal Disease Treatment: A Systematic Review. J </w:t>
      </w:r>
      <w:proofErr w:type="spellStart"/>
      <w:r w:rsidR="00EB479C" w:rsidRPr="00EB479C">
        <w:rPr>
          <w:rFonts w:asciiTheme="majorBidi" w:hAnsiTheme="majorBidi" w:cstheme="majorBidi"/>
          <w:sz w:val="24"/>
          <w:szCs w:val="24"/>
        </w:rPr>
        <w:t>Contemp</w:t>
      </w:r>
      <w:proofErr w:type="spellEnd"/>
      <w:r w:rsidR="00EB479C" w:rsidRPr="00EB479C">
        <w:rPr>
          <w:rFonts w:asciiTheme="majorBidi" w:hAnsiTheme="majorBidi" w:cstheme="majorBidi"/>
          <w:sz w:val="24"/>
          <w:szCs w:val="24"/>
        </w:rPr>
        <w:t xml:space="preserve"> Dent </w:t>
      </w:r>
      <w:proofErr w:type="spellStart"/>
      <w:r w:rsidR="00EB479C" w:rsidRPr="00EB479C">
        <w:rPr>
          <w:rFonts w:asciiTheme="majorBidi" w:hAnsiTheme="majorBidi" w:cstheme="majorBidi"/>
          <w:sz w:val="24"/>
          <w:szCs w:val="24"/>
        </w:rPr>
        <w:t>Pract</w:t>
      </w:r>
      <w:proofErr w:type="spellEnd"/>
      <w:r w:rsidR="00EB479C" w:rsidRPr="00EB479C">
        <w:rPr>
          <w:rFonts w:asciiTheme="majorBidi" w:hAnsiTheme="majorBidi" w:cstheme="majorBidi"/>
          <w:sz w:val="24"/>
          <w:szCs w:val="24"/>
        </w:rPr>
        <w:t>. 2022 Mar 1;23(3):355-370. </w:t>
      </w:r>
    </w:p>
    <w:p w:rsidR="00EB479C" w:rsidRPr="00E02551" w:rsidRDefault="00EB479C" w:rsidP="00EB479C">
      <w:pPr>
        <w:pStyle w:val="EndnoteText"/>
        <w:jc w:val="both"/>
        <w:rPr>
          <w:rFonts w:asciiTheme="majorBidi" w:hAnsiTheme="majorBidi" w:cstheme="majorBidi"/>
          <w:sz w:val="24"/>
          <w:szCs w:val="24"/>
        </w:rPr>
      </w:pPr>
    </w:p>
    <w:p w:rsidR="00970A14" w:rsidRPr="00EB479C" w:rsidRDefault="00970A14" w:rsidP="00EB479C">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[15] </w:t>
      </w:r>
      <w:proofErr w:type="spellStart"/>
      <w:r w:rsidR="00EB479C" w:rsidRPr="00EB479C">
        <w:rPr>
          <w:rFonts w:asciiTheme="majorBidi" w:hAnsiTheme="majorBidi" w:cstheme="majorBidi"/>
          <w:sz w:val="24"/>
          <w:szCs w:val="24"/>
        </w:rPr>
        <w:t>Olszewska-Czyz</w:t>
      </w:r>
      <w:proofErr w:type="spellEnd"/>
      <w:r w:rsidR="00EB479C" w:rsidRPr="00EB479C">
        <w:rPr>
          <w:rFonts w:asciiTheme="majorBidi" w:hAnsiTheme="majorBidi" w:cstheme="majorBidi"/>
          <w:sz w:val="24"/>
          <w:szCs w:val="24"/>
        </w:rPr>
        <w:t xml:space="preserve"> I, </w:t>
      </w:r>
      <w:proofErr w:type="spellStart"/>
      <w:r w:rsidR="00EB479C" w:rsidRPr="00EB479C">
        <w:rPr>
          <w:rFonts w:asciiTheme="majorBidi" w:hAnsiTheme="majorBidi" w:cstheme="majorBidi"/>
          <w:sz w:val="24"/>
          <w:szCs w:val="24"/>
        </w:rPr>
        <w:t>Kralik</w:t>
      </w:r>
      <w:proofErr w:type="spellEnd"/>
      <w:r w:rsidR="00EB479C" w:rsidRPr="00EB479C">
        <w:rPr>
          <w:rFonts w:asciiTheme="majorBidi" w:hAnsiTheme="majorBidi" w:cstheme="majorBidi"/>
          <w:sz w:val="24"/>
          <w:szCs w:val="24"/>
        </w:rPr>
        <w:t xml:space="preserve"> K, </w:t>
      </w:r>
      <w:proofErr w:type="spellStart"/>
      <w:r w:rsidR="00EB479C" w:rsidRPr="00EB479C">
        <w:rPr>
          <w:rFonts w:asciiTheme="majorBidi" w:hAnsiTheme="majorBidi" w:cstheme="majorBidi"/>
          <w:sz w:val="24"/>
          <w:szCs w:val="24"/>
        </w:rPr>
        <w:t>Tota</w:t>
      </w:r>
      <w:proofErr w:type="spellEnd"/>
      <w:r w:rsidR="00EB479C" w:rsidRPr="00EB479C">
        <w:rPr>
          <w:rFonts w:asciiTheme="majorBidi" w:hAnsiTheme="majorBidi" w:cstheme="majorBidi"/>
          <w:sz w:val="24"/>
          <w:szCs w:val="24"/>
        </w:rPr>
        <w:t xml:space="preserve"> M, </w:t>
      </w:r>
      <w:proofErr w:type="spellStart"/>
      <w:r w:rsidR="00EB479C" w:rsidRPr="00EB479C">
        <w:rPr>
          <w:rFonts w:asciiTheme="majorBidi" w:hAnsiTheme="majorBidi" w:cstheme="majorBidi"/>
          <w:sz w:val="24"/>
          <w:szCs w:val="24"/>
        </w:rPr>
        <w:t>Prpic</w:t>
      </w:r>
      <w:proofErr w:type="spellEnd"/>
      <w:r w:rsidR="00EB479C" w:rsidRPr="00EB479C">
        <w:rPr>
          <w:rFonts w:asciiTheme="majorBidi" w:hAnsiTheme="majorBidi" w:cstheme="majorBidi"/>
          <w:sz w:val="24"/>
          <w:szCs w:val="24"/>
        </w:rPr>
        <w:t xml:space="preserve"> J. The Influence of Hyaluronic Acid Adjunctive Therapy of Periodontitis on Salivary Markers of Oxidative Stress: Randomized, Controlled Clinical Trial. Antioxidants (Basel). 2022 Jan 7;11(1):135.</w:t>
      </w:r>
    </w:p>
    <w:p w:rsidR="00EB479C" w:rsidRPr="00E02551" w:rsidRDefault="00EB479C" w:rsidP="00EB479C">
      <w:pPr>
        <w:pStyle w:val="EndnoteText"/>
        <w:jc w:val="both"/>
        <w:rPr>
          <w:rFonts w:asciiTheme="majorBidi" w:hAnsiTheme="majorBidi" w:cstheme="majorBidi"/>
          <w:sz w:val="24"/>
          <w:szCs w:val="24"/>
        </w:rPr>
      </w:pPr>
    </w:p>
    <w:p w:rsidR="00970A14" w:rsidRPr="00E02551" w:rsidRDefault="00970A14" w:rsidP="002000A3">
      <w:pPr>
        <w:pStyle w:val="EndnoteText"/>
        <w:jc w:val="both"/>
        <w:rPr>
          <w:rFonts w:asciiTheme="majorBidi" w:hAnsiTheme="majorBidi" w:cstheme="majorBidi"/>
          <w:sz w:val="24"/>
          <w:szCs w:val="24"/>
        </w:rPr>
      </w:pPr>
      <w:r w:rsidRPr="00E02551">
        <w:rPr>
          <w:rFonts w:asciiTheme="majorBidi" w:hAnsiTheme="majorBidi" w:cstheme="majorBidi"/>
          <w:sz w:val="24"/>
          <w:szCs w:val="24"/>
        </w:rPr>
        <w:t>[</w:t>
      </w:r>
      <w:r w:rsidRPr="00B4193F">
        <w:rPr>
          <w:rFonts w:asciiTheme="majorBidi" w:hAnsiTheme="majorBidi" w:cstheme="majorBidi"/>
          <w:sz w:val="24"/>
          <w:szCs w:val="24"/>
        </w:rPr>
        <w:t>16</w:t>
      </w:r>
      <w:r w:rsidRPr="00E02551">
        <w:rPr>
          <w:rFonts w:asciiTheme="majorBidi" w:hAnsiTheme="majorBidi" w:cstheme="majorBidi"/>
          <w:sz w:val="24"/>
          <w:szCs w:val="24"/>
        </w:rPr>
        <w:t xml:space="preserve">] </w:t>
      </w:r>
      <w:proofErr w:type="spellStart"/>
      <w:r w:rsidR="00B16A7B">
        <w:rPr>
          <w:rFonts w:asciiTheme="majorBidi" w:hAnsiTheme="majorBidi" w:cstheme="majorBidi"/>
          <w:sz w:val="24"/>
          <w:szCs w:val="24"/>
        </w:rPr>
        <w:t>Vuckovic</w:t>
      </w:r>
      <w:proofErr w:type="spellEnd"/>
      <w:r w:rsidR="00B16A7B">
        <w:rPr>
          <w:rFonts w:asciiTheme="majorBidi" w:hAnsiTheme="majorBidi" w:cstheme="majorBidi"/>
          <w:sz w:val="24"/>
          <w:szCs w:val="24"/>
        </w:rPr>
        <w:t xml:space="preserve"> M, Nikolic N, </w:t>
      </w:r>
      <w:proofErr w:type="spellStart"/>
      <w:r w:rsidR="00B16A7B">
        <w:rPr>
          <w:rFonts w:asciiTheme="majorBidi" w:hAnsiTheme="majorBidi" w:cstheme="majorBidi"/>
          <w:sz w:val="24"/>
          <w:szCs w:val="24"/>
        </w:rPr>
        <w:t>Milasin</w:t>
      </w:r>
      <w:proofErr w:type="spellEnd"/>
      <w:r w:rsidR="00B16A7B">
        <w:rPr>
          <w:rFonts w:asciiTheme="majorBidi" w:hAnsiTheme="majorBidi" w:cstheme="majorBidi"/>
          <w:sz w:val="24"/>
          <w:szCs w:val="24"/>
        </w:rPr>
        <w:t xml:space="preserve"> J, </w:t>
      </w:r>
      <w:proofErr w:type="spellStart"/>
      <w:r w:rsidR="00B16A7B">
        <w:rPr>
          <w:rFonts w:asciiTheme="majorBidi" w:hAnsiTheme="majorBidi" w:cstheme="majorBidi"/>
          <w:sz w:val="24"/>
          <w:szCs w:val="24"/>
        </w:rPr>
        <w:t>Djordjevic</w:t>
      </w:r>
      <w:proofErr w:type="spellEnd"/>
      <w:r w:rsidR="00B16A7B">
        <w:rPr>
          <w:rFonts w:asciiTheme="majorBidi" w:hAnsiTheme="majorBidi" w:cstheme="majorBidi"/>
          <w:sz w:val="24"/>
          <w:szCs w:val="24"/>
        </w:rPr>
        <w:t xml:space="preserve"> V, Milinkovic I, </w:t>
      </w:r>
      <w:proofErr w:type="spellStart"/>
      <w:r w:rsidRPr="00E02551">
        <w:rPr>
          <w:rFonts w:asciiTheme="majorBidi" w:hAnsiTheme="majorBidi" w:cstheme="majorBidi"/>
          <w:sz w:val="24"/>
          <w:szCs w:val="24"/>
        </w:rPr>
        <w:t>Asotic</w:t>
      </w:r>
      <w:proofErr w:type="spellEnd"/>
      <w:r w:rsidR="00B16A7B">
        <w:rPr>
          <w:rFonts w:asciiTheme="majorBidi" w:hAnsiTheme="majorBidi" w:cstheme="majorBidi"/>
          <w:sz w:val="24"/>
          <w:szCs w:val="24"/>
        </w:rPr>
        <w:t xml:space="preserve"> J</w:t>
      </w:r>
      <w:r w:rsidR="002000A3">
        <w:rPr>
          <w:rFonts w:asciiTheme="majorBidi" w:hAnsiTheme="majorBidi" w:cstheme="majorBidi"/>
          <w:sz w:val="24"/>
          <w:szCs w:val="24"/>
        </w:rPr>
        <w:t xml:space="preserve">, </w:t>
      </w:r>
      <w:proofErr w:type="spellStart"/>
      <w:r w:rsidR="002000A3">
        <w:rPr>
          <w:rFonts w:asciiTheme="majorBidi" w:hAnsiTheme="majorBidi" w:cstheme="majorBidi"/>
          <w:sz w:val="24"/>
          <w:szCs w:val="24"/>
        </w:rPr>
        <w:t>Jezic</w:t>
      </w:r>
      <w:proofErr w:type="spellEnd"/>
      <w:r w:rsidR="002000A3">
        <w:rPr>
          <w:rFonts w:asciiTheme="majorBidi" w:hAnsiTheme="majorBidi" w:cstheme="majorBidi"/>
          <w:sz w:val="24"/>
          <w:szCs w:val="24"/>
        </w:rPr>
        <w:t xml:space="preserve"> Z, and </w:t>
      </w:r>
      <w:r w:rsidRPr="00E02551">
        <w:rPr>
          <w:rFonts w:asciiTheme="majorBidi" w:hAnsiTheme="majorBidi" w:cstheme="majorBidi"/>
          <w:sz w:val="24"/>
          <w:szCs w:val="24"/>
        </w:rPr>
        <w:t>al. The effect of injectable platelet-rich fibrin use in the initial treatment of chronic periodontitis. </w:t>
      </w:r>
      <w:proofErr w:type="spellStart"/>
      <w:r w:rsidR="006E1FE7">
        <w:rPr>
          <w:rFonts w:asciiTheme="majorBidi" w:hAnsiTheme="majorBidi" w:cstheme="majorBidi"/>
          <w:sz w:val="24"/>
          <w:szCs w:val="24"/>
        </w:rPr>
        <w:t>PMPR</w:t>
      </w:r>
      <w:r w:rsidRPr="00E02551">
        <w:rPr>
          <w:rFonts w:asciiTheme="majorBidi" w:hAnsiTheme="majorBidi" w:cstheme="majorBidi"/>
          <w:sz w:val="24"/>
          <w:szCs w:val="24"/>
        </w:rPr>
        <w:t>ski</w:t>
      </w:r>
      <w:proofErr w:type="spellEnd"/>
      <w:r w:rsidRPr="00E02551">
        <w:rPr>
          <w:rFonts w:asciiTheme="majorBidi" w:hAnsiTheme="majorBidi" w:cstheme="majorBidi"/>
          <w:sz w:val="24"/>
          <w:szCs w:val="24"/>
        </w:rPr>
        <w:t xml:space="preserve"> </w:t>
      </w:r>
      <w:proofErr w:type="spellStart"/>
      <w:r w:rsidRPr="00E02551">
        <w:rPr>
          <w:rFonts w:asciiTheme="majorBidi" w:hAnsiTheme="majorBidi" w:cstheme="majorBidi"/>
          <w:sz w:val="24"/>
          <w:szCs w:val="24"/>
        </w:rPr>
        <w:t>Arhiv</w:t>
      </w:r>
      <w:proofErr w:type="spellEnd"/>
      <w:r w:rsidRPr="00E02551">
        <w:rPr>
          <w:rFonts w:asciiTheme="majorBidi" w:hAnsiTheme="majorBidi" w:cstheme="majorBidi"/>
          <w:sz w:val="24"/>
          <w:szCs w:val="24"/>
        </w:rPr>
        <w:t xml:space="preserve"> </w:t>
      </w:r>
      <w:proofErr w:type="spellStart"/>
      <w:r w:rsidRPr="00E02551">
        <w:rPr>
          <w:rFonts w:asciiTheme="majorBidi" w:hAnsiTheme="majorBidi" w:cstheme="majorBidi"/>
          <w:sz w:val="24"/>
          <w:szCs w:val="24"/>
        </w:rPr>
        <w:t>Za</w:t>
      </w:r>
      <w:proofErr w:type="spellEnd"/>
      <w:r w:rsidRPr="00E02551">
        <w:rPr>
          <w:rFonts w:asciiTheme="majorBidi" w:hAnsiTheme="majorBidi" w:cstheme="majorBidi"/>
          <w:sz w:val="24"/>
          <w:szCs w:val="24"/>
        </w:rPr>
        <w:t xml:space="preserve"> </w:t>
      </w:r>
      <w:proofErr w:type="spellStart"/>
      <w:r w:rsidRPr="00E02551">
        <w:rPr>
          <w:rFonts w:asciiTheme="majorBidi" w:hAnsiTheme="majorBidi" w:cstheme="majorBidi"/>
          <w:sz w:val="24"/>
          <w:szCs w:val="24"/>
        </w:rPr>
        <w:t>Celokupno</w:t>
      </w:r>
      <w:proofErr w:type="spellEnd"/>
      <w:r w:rsidRPr="00E02551">
        <w:rPr>
          <w:rFonts w:asciiTheme="majorBidi" w:hAnsiTheme="majorBidi" w:cstheme="majorBidi"/>
          <w:sz w:val="24"/>
          <w:szCs w:val="24"/>
        </w:rPr>
        <w:t xml:space="preserve"> </w:t>
      </w:r>
      <w:proofErr w:type="spellStart"/>
      <w:r w:rsidRPr="00E02551">
        <w:rPr>
          <w:rFonts w:asciiTheme="majorBidi" w:hAnsiTheme="majorBidi" w:cstheme="majorBidi"/>
          <w:sz w:val="24"/>
          <w:szCs w:val="24"/>
        </w:rPr>
        <w:t>Lekarstvo</w:t>
      </w:r>
      <w:proofErr w:type="spellEnd"/>
      <w:r w:rsidRPr="00E02551">
        <w:rPr>
          <w:rFonts w:asciiTheme="majorBidi" w:hAnsiTheme="majorBidi" w:cstheme="majorBidi"/>
          <w:sz w:val="24"/>
          <w:szCs w:val="24"/>
        </w:rPr>
        <w:t xml:space="preserve"> 2020</w:t>
      </w:r>
      <w:r w:rsidR="00B4193F">
        <w:rPr>
          <w:rFonts w:asciiTheme="majorBidi" w:hAnsiTheme="majorBidi" w:cstheme="majorBidi"/>
          <w:sz w:val="24"/>
          <w:szCs w:val="24"/>
        </w:rPr>
        <w:t xml:space="preserve"> Jan</w:t>
      </w:r>
      <w:r w:rsidRPr="00E02551">
        <w:rPr>
          <w:rFonts w:asciiTheme="majorBidi" w:hAnsiTheme="majorBidi" w:cstheme="majorBidi"/>
          <w:sz w:val="24"/>
          <w:szCs w:val="24"/>
        </w:rPr>
        <w:t>;148</w:t>
      </w:r>
      <w:r w:rsidR="00B4193F">
        <w:rPr>
          <w:rFonts w:asciiTheme="majorBidi" w:hAnsiTheme="majorBidi" w:cstheme="majorBidi"/>
          <w:sz w:val="24"/>
          <w:szCs w:val="24"/>
        </w:rPr>
        <w:t>(5-6)</w:t>
      </w:r>
      <w:r w:rsidRPr="00E02551">
        <w:rPr>
          <w:rFonts w:asciiTheme="majorBidi" w:hAnsiTheme="majorBidi" w:cstheme="majorBidi"/>
          <w:sz w:val="24"/>
          <w:szCs w:val="24"/>
        </w:rPr>
        <w:t>:280-285.</w:t>
      </w:r>
    </w:p>
    <w:p w:rsidR="00970A14" w:rsidRPr="00E02551" w:rsidRDefault="00970A14" w:rsidP="001D5206">
      <w:pPr>
        <w:pStyle w:val="EndnoteText"/>
        <w:jc w:val="both"/>
        <w:rPr>
          <w:rFonts w:asciiTheme="majorBidi" w:hAnsiTheme="majorBidi" w:cstheme="majorBidi"/>
          <w:sz w:val="24"/>
          <w:szCs w:val="24"/>
        </w:rPr>
      </w:pPr>
    </w:p>
    <w:p w:rsidR="00970A14" w:rsidRPr="00EB479C" w:rsidRDefault="00970A14" w:rsidP="00EB479C">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[17] </w:t>
      </w:r>
      <w:r w:rsidR="00EB479C" w:rsidRPr="00EB479C">
        <w:rPr>
          <w:rFonts w:asciiTheme="majorBidi" w:hAnsiTheme="majorBidi" w:cstheme="majorBidi"/>
          <w:sz w:val="24"/>
          <w:szCs w:val="24"/>
        </w:rPr>
        <w:t xml:space="preserve">Yan Y, Zhan Y, Wang X, </w:t>
      </w:r>
      <w:proofErr w:type="spellStart"/>
      <w:r w:rsidR="00EB479C" w:rsidRPr="00EB479C">
        <w:rPr>
          <w:rFonts w:asciiTheme="majorBidi" w:hAnsiTheme="majorBidi" w:cstheme="majorBidi"/>
          <w:sz w:val="24"/>
          <w:szCs w:val="24"/>
        </w:rPr>
        <w:t>Hou</w:t>
      </w:r>
      <w:proofErr w:type="spellEnd"/>
      <w:r w:rsidR="00EB479C" w:rsidRPr="00EB479C">
        <w:rPr>
          <w:rFonts w:asciiTheme="majorBidi" w:hAnsiTheme="majorBidi" w:cstheme="majorBidi"/>
          <w:sz w:val="24"/>
          <w:szCs w:val="24"/>
        </w:rPr>
        <w:t xml:space="preserve"> J. Clinical evaluation of ultrasonic subgingival debridement versus ultrasonic subgingival scaling combined with manual root planing in the treatment of periodontitis: study protocol for a randomized controlled trial. Trials. 2020 Jan 28;21(1):113. </w:t>
      </w:r>
    </w:p>
    <w:p w:rsidR="00EB479C" w:rsidRPr="00E02551" w:rsidRDefault="00EB479C" w:rsidP="00EB479C">
      <w:pPr>
        <w:pStyle w:val="EndnoteText"/>
        <w:jc w:val="both"/>
        <w:rPr>
          <w:rFonts w:asciiTheme="majorBidi" w:hAnsiTheme="majorBidi" w:cstheme="majorBidi"/>
          <w:sz w:val="24"/>
          <w:szCs w:val="24"/>
        </w:rPr>
      </w:pPr>
    </w:p>
    <w:p w:rsidR="00970A14" w:rsidRPr="00E02551" w:rsidRDefault="00970A14" w:rsidP="00EB479C">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[18] </w:t>
      </w:r>
      <w:proofErr w:type="spellStart"/>
      <w:r w:rsidR="00EB479C" w:rsidRPr="00EB479C">
        <w:rPr>
          <w:rFonts w:asciiTheme="majorBidi" w:hAnsiTheme="majorBidi" w:cstheme="majorBidi"/>
          <w:sz w:val="24"/>
          <w:szCs w:val="24"/>
        </w:rPr>
        <w:t>Zijnge</w:t>
      </w:r>
      <w:proofErr w:type="spellEnd"/>
      <w:r w:rsidR="00EB479C" w:rsidRPr="00EB479C">
        <w:rPr>
          <w:rFonts w:asciiTheme="majorBidi" w:hAnsiTheme="majorBidi" w:cstheme="majorBidi"/>
          <w:sz w:val="24"/>
          <w:szCs w:val="24"/>
        </w:rPr>
        <w:t xml:space="preserve"> V, Meijer HF, Lie MA, Tromp JA, </w:t>
      </w:r>
      <w:proofErr w:type="spellStart"/>
      <w:r w:rsidR="00EB479C" w:rsidRPr="00EB479C">
        <w:rPr>
          <w:rFonts w:asciiTheme="majorBidi" w:hAnsiTheme="majorBidi" w:cstheme="majorBidi"/>
          <w:sz w:val="24"/>
          <w:szCs w:val="24"/>
        </w:rPr>
        <w:t>Degener</w:t>
      </w:r>
      <w:proofErr w:type="spellEnd"/>
      <w:r w:rsidR="00EB479C" w:rsidRPr="00EB479C">
        <w:rPr>
          <w:rFonts w:asciiTheme="majorBidi" w:hAnsiTheme="majorBidi" w:cstheme="majorBidi"/>
          <w:sz w:val="24"/>
          <w:szCs w:val="24"/>
        </w:rPr>
        <w:t xml:space="preserve"> JE, </w:t>
      </w:r>
      <w:proofErr w:type="spellStart"/>
      <w:r w:rsidR="00EB479C" w:rsidRPr="00EB479C">
        <w:rPr>
          <w:rFonts w:asciiTheme="majorBidi" w:hAnsiTheme="majorBidi" w:cstheme="majorBidi"/>
          <w:sz w:val="24"/>
          <w:szCs w:val="24"/>
        </w:rPr>
        <w:t>Harmsen</w:t>
      </w:r>
      <w:proofErr w:type="spellEnd"/>
      <w:r w:rsidR="00EB479C" w:rsidRPr="00EB479C">
        <w:rPr>
          <w:rFonts w:asciiTheme="majorBidi" w:hAnsiTheme="majorBidi" w:cstheme="majorBidi"/>
          <w:sz w:val="24"/>
          <w:szCs w:val="24"/>
        </w:rPr>
        <w:t xml:space="preserve"> HJ, Abbas F. The recolonization hypothesis in a full-mouth or multiple-session treatment protocol: a blinded, randomized clinical trial. J </w:t>
      </w:r>
      <w:proofErr w:type="spellStart"/>
      <w:r w:rsidR="00EB479C" w:rsidRPr="00EB479C">
        <w:rPr>
          <w:rFonts w:asciiTheme="majorBidi" w:hAnsiTheme="majorBidi" w:cstheme="majorBidi"/>
          <w:sz w:val="24"/>
          <w:szCs w:val="24"/>
        </w:rPr>
        <w:t>Clin</w:t>
      </w:r>
      <w:proofErr w:type="spellEnd"/>
      <w:r w:rsidR="00EB479C" w:rsidRPr="00EB479C">
        <w:rPr>
          <w:rFonts w:asciiTheme="majorBidi" w:hAnsiTheme="majorBidi" w:cstheme="majorBidi"/>
          <w:sz w:val="24"/>
          <w:szCs w:val="24"/>
        </w:rPr>
        <w:t xml:space="preserve"> </w:t>
      </w:r>
      <w:proofErr w:type="spellStart"/>
      <w:r w:rsidR="00EB479C" w:rsidRPr="00EB479C">
        <w:rPr>
          <w:rFonts w:asciiTheme="majorBidi" w:hAnsiTheme="majorBidi" w:cstheme="majorBidi"/>
          <w:sz w:val="24"/>
          <w:szCs w:val="24"/>
        </w:rPr>
        <w:t>Periodontol</w:t>
      </w:r>
      <w:proofErr w:type="spellEnd"/>
      <w:r w:rsidR="00EB479C" w:rsidRPr="00EB479C">
        <w:rPr>
          <w:rFonts w:asciiTheme="majorBidi" w:hAnsiTheme="majorBidi" w:cstheme="majorBidi"/>
          <w:sz w:val="24"/>
          <w:szCs w:val="24"/>
        </w:rPr>
        <w:t>. 2010 Jun;37(6):518-25. </w:t>
      </w:r>
    </w:p>
    <w:p w:rsidR="00970A14" w:rsidRPr="00E02551" w:rsidRDefault="00970A14" w:rsidP="001D5206">
      <w:pPr>
        <w:pStyle w:val="EndnoteText"/>
        <w:jc w:val="both"/>
        <w:rPr>
          <w:rFonts w:asciiTheme="majorBidi" w:hAnsiTheme="majorBidi" w:cstheme="majorBidi"/>
          <w:sz w:val="24"/>
          <w:szCs w:val="24"/>
        </w:rPr>
      </w:pPr>
    </w:p>
    <w:p w:rsidR="00970A14" w:rsidRPr="00E02551" w:rsidRDefault="00970A14" w:rsidP="00EB479C">
      <w:pPr>
        <w:pStyle w:val="EndnoteText"/>
        <w:jc w:val="both"/>
        <w:rPr>
          <w:rFonts w:asciiTheme="majorBidi" w:hAnsiTheme="majorBidi" w:cstheme="majorBidi"/>
          <w:sz w:val="24"/>
          <w:szCs w:val="24"/>
        </w:rPr>
      </w:pPr>
      <w:r w:rsidRPr="00E02551">
        <w:rPr>
          <w:rFonts w:asciiTheme="majorBidi" w:hAnsiTheme="majorBidi" w:cstheme="majorBidi"/>
          <w:sz w:val="24"/>
          <w:szCs w:val="24"/>
        </w:rPr>
        <w:t xml:space="preserve">[19] </w:t>
      </w:r>
      <w:r w:rsidR="00EB479C" w:rsidRPr="00EB479C">
        <w:rPr>
          <w:rFonts w:asciiTheme="majorBidi" w:hAnsiTheme="majorBidi" w:cstheme="majorBidi"/>
          <w:sz w:val="24"/>
          <w:szCs w:val="24"/>
        </w:rPr>
        <w:t xml:space="preserve">Wang X, Zhang Y, </w:t>
      </w:r>
      <w:proofErr w:type="spellStart"/>
      <w:r w:rsidR="00EB479C" w:rsidRPr="00EB479C">
        <w:rPr>
          <w:rFonts w:asciiTheme="majorBidi" w:hAnsiTheme="majorBidi" w:cstheme="majorBidi"/>
          <w:sz w:val="24"/>
          <w:szCs w:val="24"/>
        </w:rPr>
        <w:t>Choukroun</w:t>
      </w:r>
      <w:proofErr w:type="spellEnd"/>
      <w:r w:rsidR="00EB479C" w:rsidRPr="00EB479C">
        <w:rPr>
          <w:rFonts w:asciiTheme="majorBidi" w:hAnsiTheme="majorBidi" w:cstheme="majorBidi"/>
          <w:sz w:val="24"/>
          <w:szCs w:val="24"/>
        </w:rPr>
        <w:t xml:space="preserve"> J, </w:t>
      </w:r>
      <w:proofErr w:type="spellStart"/>
      <w:r w:rsidR="00EB479C" w:rsidRPr="00EB479C">
        <w:rPr>
          <w:rFonts w:asciiTheme="majorBidi" w:hAnsiTheme="majorBidi" w:cstheme="majorBidi"/>
          <w:sz w:val="24"/>
          <w:szCs w:val="24"/>
        </w:rPr>
        <w:t>Ghanaati</w:t>
      </w:r>
      <w:proofErr w:type="spellEnd"/>
      <w:r w:rsidR="00EB479C" w:rsidRPr="00EB479C">
        <w:rPr>
          <w:rFonts w:asciiTheme="majorBidi" w:hAnsiTheme="majorBidi" w:cstheme="majorBidi"/>
          <w:sz w:val="24"/>
          <w:szCs w:val="24"/>
        </w:rPr>
        <w:t xml:space="preserve"> S, </w:t>
      </w:r>
      <w:proofErr w:type="spellStart"/>
      <w:r w:rsidR="00EB479C" w:rsidRPr="00EB479C">
        <w:rPr>
          <w:rFonts w:asciiTheme="majorBidi" w:hAnsiTheme="majorBidi" w:cstheme="majorBidi"/>
          <w:sz w:val="24"/>
          <w:szCs w:val="24"/>
        </w:rPr>
        <w:t>Miron</w:t>
      </w:r>
      <w:proofErr w:type="spellEnd"/>
      <w:r w:rsidR="00EB479C" w:rsidRPr="00EB479C">
        <w:rPr>
          <w:rFonts w:asciiTheme="majorBidi" w:hAnsiTheme="majorBidi" w:cstheme="majorBidi"/>
          <w:sz w:val="24"/>
          <w:szCs w:val="24"/>
        </w:rPr>
        <w:t xml:space="preserve"> RJ. Behavior of Gingival Fibroblasts on Titanium Implant Surfaces in Combination with either Injectable-PRF or PRP. </w:t>
      </w:r>
      <w:proofErr w:type="spellStart"/>
      <w:r w:rsidR="00EB479C" w:rsidRPr="00EB479C">
        <w:rPr>
          <w:rFonts w:asciiTheme="majorBidi" w:hAnsiTheme="majorBidi" w:cstheme="majorBidi"/>
          <w:sz w:val="24"/>
          <w:szCs w:val="24"/>
        </w:rPr>
        <w:t>Int</w:t>
      </w:r>
      <w:proofErr w:type="spellEnd"/>
      <w:r w:rsidR="00EB479C" w:rsidRPr="00EB479C">
        <w:rPr>
          <w:rFonts w:asciiTheme="majorBidi" w:hAnsiTheme="majorBidi" w:cstheme="majorBidi"/>
          <w:sz w:val="24"/>
          <w:szCs w:val="24"/>
        </w:rPr>
        <w:t xml:space="preserve"> J </w:t>
      </w:r>
      <w:proofErr w:type="spellStart"/>
      <w:r w:rsidR="00EB479C" w:rsidRPr="00EB479C">
        <w:rPr>
          <w:rFonts w:asciiTheme="majorBidi" w:hAnsiTheme="majorBidi" w:cstheme="majorBidi"/>
          <w:sz w:val="24"/>
          <w:szCs w:val="24"/>
        </w:rPr>
        <w:t>Mol</w:t>
      </w:r>
      <w:proofErr w:type="spellEnd"/>
      <w:r w:rsidR="00EB479C" w:rsidRPr="00EB479C">
        <w:rPr>
          <w:rFonts w:asciiTheme="majorBidi" w:hAnsiTheme="majorBidi" w:cstheme="majorBidi"/>
          <w:sz w:val="24"/>
          <w:szCs w:val="24"/>
        </w:rPr>
        <w:t xml:space="preserve"> Sci. 2017 Feb 4;18(2):331. </w:t>
      </w:r>
    </w:p>
    <w:p w:rsidR="00970A14" w:rsidRPr="00E02551" w:rsidRDefault="00B16A7B" w:rsidP="00E07F78">
      <w:pPr>
        <w:spacing w:line="240" w:lineRule="auto"/>
        <w:jc w:val="both"/>
        <w:rPr>
          <w:rFonts w:asciiTheme="majorBidi" w:hAnsiTheme="majorBidi" w:cstheme="majorBidi"/>
          <w:sz w:val="24"/>
          <w:szCs w:val="24"/>
        </w:rPr>
      </w:pPr>
      <w:r>
        <w:rPr>
          <w:rFonts w:asciiTheme="majorBidi" w:hAnsiTheme="majorBidi" w:cstheme="majorBidi"/>
          <w:sz w:val="24"/>
          <w:szCs w:val="24"/>
        </w:rPr>
        <w:lastRenderedPageBreak/>
        <w:t xml:space="preserve">[20]: </w:t>
      </w:r>
      <w:proofErr w:type="spellStart"/>
      <w:r w:rsidRPr="00E02551">
        <w:rPr>
          <w:rFonts w:asciiTheme="majorBidi" w:hAnsiTheme="majorBidi" w:cstheme="majorBidi"/>
          <w:sz w:val="24"/>
          <w:szCs w:val="24"/>
        </w:rPr>
        <w:t>Thanasrisuebwong</w:t>
      </w:r>
      <w:proofErr w:type="spellEnd"/>
      <w:r w:rsidRPr="00E02551">
        <w:rPr>
          <w:rFonts w:asciiTheme="majorBidi" w:hAnsiTheme="majorBidi" w:cstheme="majorBidi"/>
          <w:sz w:val="24"/>
          <w:szCs w:val="24"/>
        </w:rPr>
        <w:t xml:space="preserve">, P., </w:t>
      </w:r>
      <w:proofErr w:type="spellStart"/>
      <w:r w:rsidRPr="00E02551">
        <w:rPr>
          <w:rFonts w:asciiTheme="majorBidi" w:hAnsiTheme="majorBidi" w:cstheme="majorBidi"/>
          <w:sz w:val="24"/>
          <w:szCs w:val="24"/>
        </w:rPr>
        <w:t>Surarit</w:t>
      </w:r>
      <w:proofErr w:type="spellEnd"/>
      <w:r w:rsidRPr="00E02551">
        <w:rPr>
          <w:rFonts w:asciiTheme="majorBidi" w:hAnsiTheme="majorBidi" w:cstheme="majorBidi"/>
          <w:sz w:val="24"/>
          <w:szCs w:val="24"/>
        </w:rPr>
        <w:t xml:space="preserve">, R., </w:t>
      </w:r>
      <w:proofErr w:type="spellStart"/>
      <w:r w:rsidRPr="00E02551">
        <w:rPr>
          <w:rFonts w:asciiTheme="majorBidi" w:hAnsiTheme="majorBidi" w:cstheme="majorBidi"/>
          <w:sz w:val="24"/>
          <w:szCs w:val="24"/>
        </w:rPr>
        <w:t>Bencharit</w:t>
      </w:r>
      <w:proofErr w:type="spellEnd"/>
      <w:r w:rsidRPr="00E02551">
        <w:rPr>
          <w:rFonts w:asciiTheme="majorBidi" w:hAnsiTheme="majorBidi" w:cstheme="majorBidi"/>
          <w:sz w:val="24"/>
          <w:szCs w:val="24"/>
        </w:rPr>
        <w:t xml:space="preserve">, S., &amp; </w:t>
      </w:r>
      <w:proofErr w:type="spellStart"/>
      <w:r w:rsidRPr="00E02551">
        <w:rPr>
          <w:rFonts w:asciiTheme="majorBidi" w:hAnsiTheme="majorBidi" w:cstheme="majorBidi"/>
          <w:sz w:val="24"/>
          <w:szCs w:val="24"/>
        </w:rPr>
        <w:t>Ruangsawasdi</w:t>
      </w:r>
      <w:proofErr w:type="spellEnd"/>
      <w:r w:rsidRPr="00E02551">
        <w:rPr>
          <w:rFonts w:asciiTheme="majorBidi" w:hAnsiTheme="majorBidi" w:cstheme="majorBidi"/>
          <w:sz w:val="24"/>
          <w:szCs w:val="24"/>
        </w:rPr>
        <w:t>, N. Influence of Fractionation Methods on Physical and Biological Properties of Injectable Platelet-Rich Fibrin: An Exploratory Study. </w:t>
      </w:r>
      <w:proofErr w:type="spellStart"/>
      <w:r w:rsidRPr="00E02551">
        <w:rPr>
          <w:rFonts w:asciiTheme="majorBidi" w:hAnsiTheme="majorBidi" w:cstheme="majorBidi"/>
          <w:sz w:val="24"/>
          <w:szCs w:val="24"/>
        </w:rPr>
        <w:t>Int</w:t>
      </w:r>
      <w:proofErr w:type="spellEnd"/>
      <w:r w:rsidRPr="00E02551">
        <w:rPr>
          <w:rFonts w:asciiTheme="majorBidi" w:hAnsiTheme="majorBidi" w:cstheme="majorBidi"/>
          <w:sz w:val="24"/>
          <w:szCs w:val="24"/>
        </w:rPr>
        <w:t xml:space="preserve"> J </w:t>
      </w:r>
      <w:proofErr w:type="spellStart"/>
      <w:r w:rsidRPr="00E02551">
        <w:rPr>
          <w:rFonts w:asciiTheme="majorBidi" w:hAnsiTheme="majorBidi" w:cstheme="majorBidi"/>
          <w:sz w:val="24"/>
          <w:szCs w:val="24"/>
        </w:rPr>
        <w:t>Mol</w:t>
      </w:r>
      <w:proofErr w:type="spellEnd"/>
      <w:r w:rsidRPr="00E02551">
        <w:rPr>
          <w:rFonts w:asciiTheme="majorBidi" w:hAnsiTheme="majorBidi" w:cstheme="majorBidi"/>
          <w:sz w:val="24"/>
          <w:szCs w:val="24"/>
        </w:rPr>
        <w:t xml:space="preserve"> </w:t>
      </w:r>
      <w:proofErr w:type="spellStart"/>
      <w:r w:rsidRPr="00E02551">
        <w:rPr>
          <w:rFonts w:asciiTheme="majorBidi" w:hAnsiTheme="majorBidi" w:cstheme="majorBidi"/>
          <w:sz w:val="24"/>
          <w:szCs w:val="24"/>
        </w:rPr>
        <w:t>Sci</w:t>
      </w:r>
      <w:proofErr w:type="spellEnd"/>
      <w:r w:rsidRPr="00E02551">
        <w:rPr>
          <w:rFonts w:asciiTheme="majorBidi" w:hAnsiTheme="majorBidi" w:cstheme="majorBidi"/>
          <w:sz w:val="24"/>
          <w:szCs w:val="24"/>
        </w:rPr>
        <w:t xml:space="preserve"> 2019;20:1657.  </w:t>
      </w:r>
      <w:r w:rsidR="00970A14" w:rsidRPr="00E02551">
        <w:rPr>
          <w:rFonts w:asciiTheme="majorBidi" w:hAnsiTheme="majorBidi" w:cstheme="majorBidi"/>
          <w:sz w:val="24"/>
          <w:szCs w:val="24"/>
        </w:rPr>
        <w:t xml:space="preserve">[21] </w:t>
      </w:r>
      <w:r w:rsidRPr="00B16A7B">
        <w:rPr>
          <w:rFonts w:asciiTheme="majorBidi" w:hAnsiTheme="majorBidi" w:cstheme="majorBidi"/>
          <w:sz w:val="24"/>
          <w:szCs w:val="24"/>
        </w:rPr>
        <w:t>Fang H, Han M, Li QL, Cao CY, Xia R, Zhang ZH. Comparison of full-mouth disinfection and quadrant-wise scaling in the treatment of adult chronic periodontitis: a systematic review and meta-analysis. J Periodontal Res. 2016 Aug;51(4):417-30.</w:t>
      </w:r>
    </w:p>
    <w:p w:rsidR="00970A14" w:rsidRPr="00E02551" w:rsidRDefault="00970A14" w:rsidP="001D5206">
      <w:pPr>
        <w:spacing w:line="240" w:lineRule="auto"/>
        <w:jc w:val="both"/>
        <w:rPr>
          <w:rFonts w:asciiTheme="majorBidi" w:hAnsiTheme="majorBidi" w:cstheme="majorBidi"/>
          <w:sz w:val="24"/>
          <w:szCs w:val="24"/>
        </w:rPr>
      </w:pPr>
    </w:p>
    <w:p w:rsidR="00A43A78" w:rsidRPr="00A43A78" w:rsidRDefault="00A43A78" w:rsidP="001D5206">
      <w:pPr>
        <w:pStyle w:val="root-block-node"/>
        <w:jc w:val="both"/>
        <w:rPr>
          <w:rFonts w:asciiTheme="majorBidi" w:hAnsiTheme="majorBidi" w:cstheme="majorBidi"/>
        </w:rPr>
      </w:pPr>
    </w:p>
    <w:p w:rsidR="003378E7" w:rsidRPr="00A43A78" w:rsidRDefault="003378E7" w:rsidP="001D5206">
      <w:pPr>
        <w:jc w:val="both"/>
        <w:rPr>
          <w:lang w:val="en-GB"/>
        </w:rPr>
      </w:pPr>
    </w:p>
    <w:sectPr w:rsidR="003378E7" w:rsidRPr="00A43A78" w:rsidSect="00552A5D">
      <w:pgSz w:w="12242" w:h="15842" w:code="121"/>
      <w:pgMar w:top="2160" w:right="2160" w:bottom="2160" w:left="2160" w:header="720" w:footer="720" w:gutter="0"/>
      <w:cols w:space="720"/>
      <w:vAlign w:val="both"/>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05E" w:rsidRDefault="0077605E" w:rsidP="00C24FE7">
      <w:pPr>
        <w:spacing w:after="0" w:line="240" w:lineRule="auto"/>
      </w:pPr>
      <w:r>
        <w:separator/>
      </w:r>
    </w:p>
  </w:endnote>
  <w:endnote w:type="continuationSeparator" w:id="0">
    <w:p w:rsidR="0077605E" w:rsidRDefault="0077605E" w:rsidP="00C24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05E" w:rsidRDefault="0077605E" w:rsidP="00C24FE7">
      <w:pPr>
        <w:spacing w:after="0" w:line="240" w:lineRule="auto"/>
      </w:pPr>
      <w:r>
        <w:separator/>
      </w:r>
    </w:p>
  </w:footnote>
  <w:footnote w:type="continuationSeparator" w:id="0">
    <w:p w:rsidR="0077605E" w:rsidRDefault="0077605E" w:rsidP="00C24FE7">
      <w:pPr>
        <w:spacing w:after="0" w:line="240" w:lineRule="auto"/>
      </w:pPr>
      <w:r>
        <w:continuationSeparator/>
      </w:r>
    </w:p>
  </w:footnote>
  <w:footnote w:id="1">
    <w:p w:rsidR="005A413E" w:rsidRDefault="00145567" w:rsidP="005A413E">
      <w:pPr>
        <w:rPr>
          <w:rFonts w:asciiTheme="majorBidi" w:hAnsiTheme="majorBidi" w:cstheme="majorBidi"/>
          <w:i/>
          <w:iCs/>
        </w:rPr>
      </w:pPr>
      <w:r w:rsidRPr="00145567">
        <w:rPr>
          <w:rStyle w:val="FootnoteReference"/>
          <w:sz w:val="20"/>
          <w:szCs w:val="20"/>
        </w:rPr>
        <w:footnoteRef/>
      </w:r>
      <w:r w:rsidRPr="00145567">
        <w:rPr>
          <w:sz w:val="20"/>
          <w:szCs w:val="20"/>
        </w:rPr>
        <w:t xml:space="preserve"> </w:t>
      </w:r>
      <w:r w:rsidR="005A413E">
        <w:rPr>
          <w:rFonts w:asciiTheme="majorBidi" w:hAnsiTheme="majorBidi" w:cstheme="majorBidi"/>
          <w:i/>
          <w:iCs/>
        </w:rPr>
        <w:t>* statistically significant difference (p&lt;0.05) within one treatment group as compared to the baseline</w:t>
      </w:r>
    </w:p>
    <w:p w:rsidR="00145567" w:rsidRPr="005A413E" w:rsidRDefault="00145567" w:rsidP="005A413E">
      <w:pPr>
        <w:pStyle w:val="FootnoteText"/>
        <w:rPr>
          <w:rFonts w:asciiTheme="majorBidi" w:hAnsiTheme="majorBidi" w:cstheme="majorBidi"/>
          <w:i/>
          <w:iCs/>
        </w:rPr>
      </w:pPr>
    </w:p>
  </w:footnote>
  <w:footnote w:id="2">
    <w:p w:rsidR="00C1278F" w:rsidRDefault="00C1278F">
      <w:pPr>
        <w:pStyle w:val="FootnoteText"/>
      </w:pPr>
      <w:r>
        <w:rPr>
          <w:rStyle w:val="FootnoteReference"/>
        </w:rPr>
        <w:footnoteRef/>
      </w:r>
      <w:r>
        <w:t xml:space="preserve"> </w:t>
      </w:r>
      <w:r>
        <w:rPr>
          <w:rFonts w:asciiTheme="majorBidi" w:hAnsiTheme="majorBidi" w:cstheme="majorBidi"/>
          <w:i/>
          <w:iCs/>
        </w:rPr>
        <w:t>* statistically significant difference (p&lt;0.05) within one treatment group as compared to the baseline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7A1E06"/>
    <w:multiLevelType w:val="hybridMultilevel"/>
    <w:tmpl w:val="0F8A8B0C"/>
    <w:lvl w:ilvl="0" w:tplc="E180A04A">
      <w:start w:val="1"/>
      <w:numFmt w:val="bullet"/>
      <w:lvlText w:val=""/>
      <w:lvlJc w:val="left"/>
      <w:pPr>
        <w:ind w:left="360" w:hanging="360"/>
      </w:pPr>
      <w:rPr>
        <w:rFonts w:ascii="Wingdings" w:eastAsiaTheme="minorHAnsi" w:hAnsi="Wingdings" w:cstheme="majorBidi"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7E68285F"/>
    <w:multiLevelType w:val="hybridMultilevel"/>
    <w:tmpl w:val="0DE0CEA4"/>
    <w:lvl w:ilvl="0" w:tplc="8F8EBF3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520"/>
    <w:rsid w:val="000272AD"/>
    <w:rsid w:val="0004556E"/>
    <w:rsid w:val="000C02BC"/>
    <w:rsid w:val="000E0C0C"/>
    <w:rsid w:val="00116440"/>
    <w:rsid w:val="00145567"/>
    <w:rsid w:val="00147009"/>
    <w:rsid w:val="001D5206"/>
    <w:rsid w:val="002000A3"/>
    <w:rsid w:val="00202041"/>
    <w:rsid w:val="002365F5"/>
    <w:rsid w:val="0025097C"/>
    <w:rsid w:val="00272365"/>
    <w:rsid w:val="003050DD"/>
    <w:rsid w:val="003378E7"/>
    <w:rsid w:val="0037375F"/>
    <w:rsid w:val="00397285"/>
    <w:rsid w:val="003C6571"/>
    <w:rsid w:val="003D61EE"/>
    <w:rsid w:val="00447920"/>
    <w:rsid w:val="00474BF6"/>
    <w:rsid w:val="004877E3"/>
    <w:rsid w:val="004A6C5B"/>
    <w:rsid w:val="004F45D6"/>
    <w:rsid w:val="00534FAA"/>
    <w:rsid w:val="005458FF"/>
    <w:rsid w:val="00552A5D"/>
    <w:rsid w:val="00562A40"/>
    <w:rsid w:val="005A413E"/>
    <w:rsid w:val="005A6495"/>
    <w:rsid w:val="005B59E3"/>
    <w:rsid w:val="005F0FD2"/>
    <w:rsid w:val="005F15D3"/>
    <w:rsid w:val="006078B5"/>
    <w:rsid w:val="00642567"/>
    <w:rsid w:val="00647E01"/>
    <w:rsid w:val="006508B4"/>
    <w:rsid w:val="006E1FE7"/>
    <w:rsid w:val="006E49A1"/>
    <w:rsid w:val="00725F54"/>
    <w:rsid w:val="007400BF"/>
    <w:rsid w:val="0077605E"/>
    <w:rsid w:val="00787CB6"/>
    <w:rsid w:val="007A0677"/>
    <w:rsid w:val="007A55B3"/>
    <w:rsid w:val="007B1F22"/>
    <w:rsid w:val="007D1004"/>
    <w:rsid w:val="007E47AB"/>
    <w:rsid w:val="0088547D"/>
    <w:rsid w:val="0091591B"/>
    <w:rsid w:val="009237A4"/>
    <w:rsid w:val="00923B8D"/>
    <w:rsid w:val="00970A14"/>
    <w:rsid w:val="00984745"/>
    <w:rsid w:val="00A030BB"/>
    <w:rsid w:val="00A103AF"/>
    <w:rsid w:val="00A14B0F"/>
    <w:rsid w:val="00A411AA"/>
    <w:rsid w:val="00A43A78"/>
    <w:rsid w:val="00A73371"/>
    <w:rsid w:val="00AF0008"/>
    <w:rsid w:val="00B024DB"/>
    <w:rsid w:val="00B07805"/>
    <w:rsid w:val="00B16A7B"/>
    <w:rsid w:val="00B35CD2"/>
    <w:rsid w:val="00B36520"/>
    <w:rsid w:val="00B40C9A"/>
    <w:rsid w:val="00B4193F"/>
    <w:rsid w:val="00BB518E"/>
    <w:rsid w:val="00C1278F"/>
    <w:rsid w:val="00C24FE7"/>
    <w:rsid w:val="00C40D8C"/>
    <w:rsid w:val="00D1483B"/>
    <w:rsid w:val="00D22D5B"/>
    <w:rsid w:val="00D22E9E"/>
    <w:rsid w:val="00D25189"/>
    <w:rsid w:val="00D43474"/>
    <w:rsid w:val="00D43892"/>
    <w:rsid w:val="00D73F39"/>
    <w:rsid w:val="00DE2B74"/>
    <w:rsid w:val="00DF4E2F"/>
    <w:rsid w:val="00E07F78"/>
    <w:rsid w:val="00E71A40"/>
    <w:rsid w:val="00E77A3B"/>
    <w:rsid w:val="00E943C9"/>
    <w:rsid w:val="00EA4E45"/>
    <w:rsid w:val="00EB479C"/>
    <w:rsid w:val="00EC40A2"/>
    <w:rsid w:val="00F30F7F"/>
    <w:rsid w:val="00F34E15"/>
    <w:rsid w:val="00F467F9"/>
    <w:rsid w:val="00FB02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52D08"/>
  <w15:chartTrackingRefBased/>
  <w15:docId w15:val="{81F223D9-6670-4074-A425-4B1AC6D8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004"/>
    <w:pPr>
      <w:spacing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oot-block-node">
    <w:name w:val="root-block-node"/>
    <w:basedOn w:val="Normal"/>
    <w:rsid w:val="00A43A7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43A78"/>
    <w:pPr>
      <w:ind w:left="720"/>
      <w:contextualSpacing/>
    </w:pPr>
    <w:rPr>
      <w:rFonts w:asciiTheme="majorBidi" w:hAnsiTheme="majorBidi"/>
      <w:sz w:val="24"/>
    </w:rPr>
  </w:style>
  <w:style w:type="paragraph" w:styleId="EndnoteText">
    <w:name w:val="endnote text"/>
    <w:basedOn w:val="Normal"/>
    <w:link w:val="EndnoteTextChar"/>
    <w:uiPriority w:val="99"/>
    <w:unhideWhenUsed/>
    <w:rsid w:val="00970A14"/>
    <w:pPr>
      <w:spacing w:after="0" w:line="240" w:lineRule="auto"/>
    </w:pPr>
    <w:rPr>
      <w:sz w:val="20"/>
      <w:szCs w:val="20"/>
    </w:rPr>
  </w:style>
  <w:style w:type="character" w:customStyle="1" w:styleId="EndnoteTextChar">
    <w:name w:val="Endnote Text Char"/>
    <w:basedOn w:val="DefaultParagraphFont"/>
    <w:link w:val="EndnoteText"/>
    <w:uiPriority w:val="99"/>
    <w:rsid w:val="00970A14"/>
    <w:rPr>
      <w:sz w:val="20"/>
      <w:szCs w:val="20"/>
    </w:rPr>
  </w:style>
  <w:style w:type="character" w:styleId="Hyperlink">
    <w:name w:val="Hyperlink"/>
    <w:basedOn w:val="DefaultParagraphFont"/>
    <w:uiPriority w:val="99"/>
    <w:unhideWhenUsed/>
    <w:rsid w:val="00970A14"/>
    <w:rPr>
      <w:color w:val="0563C1" w:themeColor="hyperlink"/>
      <w:u w:val="single"/>
    </w:rPr>
  </w:style>
  <w:style w:type="paragraph" w:styleId="FootnoteText">
    <w:name w:val="footnote text"/>
    <w:basedOn w:val="Normal"/>
    <w:link w:val="FootnoteTextChar"/>
    <w:uiPriority w:val="99"/>
    <w:unhideWhenUsed/>
    <w:rsid w:val="00C24FE7"/>
    <w:pPr>
      <w:spacing w:after="0" w:line="240" w:lineRule="auto"/>
    </w:pPr>
    <w:rPr>
      <w:sz w:val="20"/>
      <w:szCs w:val="20"/>
    </w:rPr>
  </w:style>
  <w:style w:type="character" w:customStyle="1" w:styleId="FootnoteTextChar">
    <w:name w:val="Footnote Text Char"/>
    <w:basedOn w:val="DefaultParagraphFont"/>
    <w:link w:val="FootnoteText"/>
    <w:uiPriority w:val="99"/>
    <w:rsid w:val="00C24FE7"/>
    <w:rPr>
      <w:sz w:val="20"/>
      <w:szCs w:val="20"/>
    </w:rPr>
  </w:style>
  <w:style w:type="character" w:styleId="FootnoteReference">
    <w:name w:val="footnote reference"/>
    <w:basedOn w:val="DefaultParagraphFont"/>
    <w:uiPriority w:val="99"/>
    <w:semiHidden/>
    <w:unhideWhenUsed/>
    <w:rsid w:val="00C24FE7"/>
    <w:rPr>
      <w:vertAlign w:val="superscript"/>
    </w:rPr>
  </w:style>
  <w:style w:type="table" w:styleId="GridTable2-Accent1">
    <w:name w:val="Grid Table 2 Accent 1"/>
    <w:basedOn w:val="TableNormal"/>
    <w:uiPriority w:val="47"/>
    <w:rsid w:val="00C24FE7"/>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C24FE7"/>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754851">
      <w:bodyDiv w:val="1"/>
      <w:marLeft w:val="0"/>
      <w:marRight w:val="0"/>
      <w:marTop w:val="0"/>
      <w:marBottom w:val="0"/>
      <w:divBdr>
        <w:top w:val="none" w:sz="0" w:space="0" w:color="auto"/>
        <w:left w:val="none" w:sz="0" w:space="0" w:color="auto"/>
        <w:bottom w:val="none" w:sz="0" w:space="0" w:color="auto"/>
        <w:right w:val="none" w:sz="0" w:space="0" w:color="auto"/>
      </w:divBdr>
    </w:div>
    <w:div w:id="95474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4B580-788F-4489-9AEB-2A8974FF1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4218</Words>
  <Characters>24048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28210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Toleen Mazloum</dc:creator>
  <cp:keywords/>
  <dc:description/>
  <cp:lastModifiedBy>Toleen Mazloum</cp:lastModifiedBy>
  <cp:revision>78</cp:revision>
  <dcterms:created xsi:type="dcterms:W3CDTF">2023-04-26T12:53:00Z</dcterms:created>
  <dcterms:modified xsi:type="dcterms:W3CDTF">2023-06-09T02:57:00Z</dcterms:modified>
</cp:coreProperties>
</file>